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57" w:rsidRPr="00A30757" w:rsidRDefault="003A4422" w:rsidP="00A30757">
      <w:pPr>
        <w:pStyle w:val="Header"/>
        <w:tabs>
          <w:tab w:val="left" w:pos="6090"/>
        </w:tabs>
        <w:jc w:val="center"/>
        <w:rPr>
          <w:rFonts w:cstheme="minorHAnsi"/>
        </w:rPr>
      </w:pPr>
      <w:r w:rsidRPr="003A4422">
        <w:rPr>
          <w:rFonts w:cstheme="minorHAnsi"/>
          <w:noProof/>
        </w:rPr>
        <w:drawing>
          <wp:inline distT="0" distB="0" distL="0" distR="0">
            <wp:extent cx="1007493" cy="956233"/>
            <wp:effectExtent l="19050" t="0" r="215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061" cy="965314"/>
                    </a:xfrm>
                    <a:prstGeom prst="rect">
                      <a:avLst/>
                    </a:prstGeom>
                    <a:noFill/>
                    <a:ln>
                      <a:noFill/>
                    </a:ln>
                  </pic:spPr>
                </pic:pic>
              </a:graphicData>
            </a:graphic>
          </wp:inline>
        </w:drawing>
      </w:r>
      <w:r w:rsidR="00A30757">
        <w:rPr>
          <w:noProof/>
        </w:rPr>
        <w:drawing>
          <wp:inline distT="0" distB="0" distL="0" distR="0">
            <wp:extent cx="1224951" cy="1161393"/>
            <wp:effectExtent l="19050" t="0" r="0" b="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7882" cy="1164172"/>
                    </a:xfrm>
                    <a:prstGeom prst="rect">
                      <a:avLst/>
                    </a:prstGeom>
                    <a:noFill/>
                    <a:ln>
                      <a:noFill/>
                    </a:ln>
                  </pic:spPr>
                </pic:pic>
              </a:graphicData>
            </a:graphic>
          </wp:inline>
        </w:drawing>
      </w:r>
      <w:r w:rsidR="00A30757" w:rsidRPr="003A4422">
        <w:rPr>
          <w:rFonts w:cstheme="minorHAnsi"/>
          <w:noProof/>
        </w:rPr>
        <w:drawing>
          <wp:inline distT="0" distB="0" distL="0" distR="0">
            <wp:extent cx="1000716" cy="1026543"/>
            <wp:effectExtent l="19050" t="0" r="8934" b="0"/>
            <wp:docPr id="98" name="Picture 6" descr="C:\Users\s.hammad\Desktop\NERC Fina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mmad\Desktop\NERC Final Logo.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559" cy="1029460"/>
                    </a:xfrm>
                    <a:prstGeom prst="rect">
                      <a:avLst/>
                    </a:prstGeom>
                    <a:noFill/>
                    <a:ln>
                      <a:noFill/>
                    </a:ln>
                  </pic:spPr>
                </pic:pic>
              </a:graphicData>
            </a:graphic>
          </wp:inline>
        </w:drawing>
      </w:r>
    </w:p>
    <w:p w:rsidR="00A30757" w:rsidRDefault="00A30757" w:rsidP="00A30757">
      <w:pPr>
        <w:pStyle w:val="Header"/>
        <w:tabs>
          <w:tab w:val="left" w:pos="6090"/>
        </w:tabs>
        <w:jc w:val="center"/>
      </w:pPr>
    </w:p>
    <w:p w:rsidR="00A30757" w:rsidRDefault="00A30757" w:rsidP="00A30757">
      <w:pPr>
        <w:pStyle w:val="Header"/>
        <w:tabs>
          <w:tab w:val="left" w:pos="6090"/>
        </w:tabs>
        <w:jc w:val="center"/>
      </w:pPr>
    </w:p>
    <w:p w:rsidR="003A4422" w:rsidRPr="00FA1368" w:rsidRDefault="003A4422" w:rsidP="00A30757">
      <w:pPr>
        <w:rPr>
          <w:rFonts w:cstheme="minorHAnsi"/>
        </w:rPr>
      </w:pPr>
    </w:p>
    <w:p w:rsidR="00EE582D" w:rsidRDefault="00EE582D" w:rsidP="003A4422">
      <w:pPr>
        <w:jc w:val="center"/>
        <w:rPr>
          <w:rFonts w:cstheme="minorHAnsi"/>
          <w:b/>
          <w:bCs/>
          <w:sz w:val="32"/>
          <w:szCs w:val="32"/>
        </w:rPr>
      </w:pPr>
      <w:r>
        <w:rPr>
          <w:rFonts w:cstheme="minorHAnsi"/>
          <w:b/>
          <w:bCs/>
          <w:sz w:val="32"/>
          <w:szCs w:val="32"/>
        </w:rPr>
        <w:t>Royal Scientific Society</w:t>
      </w:r>
    </w:p>
    <w:p w:rsidR="003A4422" w:rsidRPr="003A4422" w:rsidRDefault="003A4422" w:rsidP="00EE582D">
      <w:pPr>
        <w:spacing w:after="0"/>
        <w:jc w:val="center"/>
        <w:rPr>
          <w:rFonts w:cstheme="minorHAnsi"/>
          <w:b/>
          <w:bCs/>
          <w:sz w:val="32"/>
          <w:szCs w:val="32"/>
        </w:rPr>
      </w:pPr>
      <w:r w:rsidRPr="003A4422">
        <w:rPr>
          <w:rFonts w:cstheme="minorHAnsi"/>
          <w:b/>
          <w:bCs/>
          <w:sz w:val="32"/>
          <w:szCs w:val="32"/>
        </w:rPr>
        <w:t>National Energy Research Center</w:t>
      </w:r>
    </w:p>
    <w:p w:rsidR="003A4422" w:rsidRPr="003A4422" w:rsidRDefault="003A4422" w:rsidP="00EE582D">
      <w:pPr>
        <w:spacing w:after="0"/>
        <w:jc w:val="center"/>
        <w:rPr>
          <w:rFonts w:cstheme="minorHAnsi"/>
          <w:b/>
          <w:bCs/>
          <w:sz w:val="24"/>
          <w:szCs w:val="24"/>
        </w:rPr>
      </w:pPr>
      <w:r w:rsidRPr="003A4422">
        <w:rPr>
          <w:rFonts w:cstheme="minorHAnsi"/>
          <w:b/>
          <w:bCs/>
          <w:noProof/>
          <w:sz w:val="24"/>
          <w:szCs w:val="24"/>
        </w:rPr>
        <w:drawing>
          <wp:anchor distT="0" distB="0" distL="114300" distR="114300" simplePos="0" relativeHeight="251660288" behindDoc="0" locked="0" layoutInCell="1" allowOverlap="1">
            <wp:simplePos x="0" y="0"/>
            <wp:positionH relativeFrom="margin">
              <wp:posOffset>-1117948</wp:posOffset>
            </wp:positionH>
            <wp:positionV relativeFrom="paragraph">
              <wp:posOffset>311107</wp:posOffset>
            </wp:positionV>
            <wp:extent cx="7728559" cy="989412"/>
            <wp:effectExtent l="0" t="0" r="6350" b="127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0103" cy="998571"/>
                    </a:xfrm>
                    <a:prstGeom prst="rect">
                      <a:avLst/>
                    </a:prstGeom>
                    <a:noFill/>
                    <a:ln>
                      <a:noFill/>
                    </a:ln>
                  </pic:spPr>
                </pic:pic>
              </a:graphicData>
            </a:graphic>
          </wp:anchor>
        </w:drawing>
      </w:r>
    </w:p>
    <w:p w:rsidR="003A4422" w:rsidRPr="00FA1368" w:rsidRDefault="003A4422" w:rsidP="003A4422">
      <w:pPr>
        <w:rPr>
          <w:rFonts w:cstheme="minorHAnsi"/>
        </w:rPr>
      </w:pPr>
    </w:p>
    <w:p w:rsidR="003A4422" w:rsidRPr="00FA1368" w:rsidRDefault="003A4422" w:rsidP="003A4422">
      <w:pPr>
        <w:rPr>
          <w:rFonts w:cstheme="minorHAnsi"/>
        </w:rPr>
      </w:pPr>
    </w:p>
    <w:p w:rsidR="003A4422" w:rsidRPr="00FA1368" w:rsidRDefault="003A4422" w:rsidP="003A4422">
      <w:pPr>
        <w:rPr>
          <w:rFonts w:cstheme="minorHAnsi"/>
        </w:rPr>
      </w:pPr>
    </w:p>
    <w:p w:rsidR="00EE582D" w:rsidRDefault="00EE582D" w:rsidP="00A30757">
      <w:pPr>
        <w:pStyle w:val="Header"/>
        <w:tabs>
          <w:tab w:val="left" w:pos="6090"/>
        </w:tabs>
        <w:ind w:left="450"/>
        <w:jc w:val="center"/>
        <w:rPr>
          <w:b/>
          <w:bCs/>
          <w:sz w:val="36"/>
          <w:szCs w:val="36"/>
        </w:rPr>
      </w:pPr>
    </w:p>
    <w:p w:rsidR="00A30757" w:rsidRPr="0004040F" w:rsidRDefault="00A30757" w:rsidP="00A30757">
      <w:pPr>
        <w:pStyle w:val="Header"/>
        <w:tabs>
          <w:tab w:val="left" w:pos="6090"/>
        </w:tabs>
        <w:ind w:left="450"/>
        <w:jc w:val="center"/>
        <w:rPr>
          <w:b/>
          <w:bCs/>
          <w:sz w:val="36"/>
          <w:szCs w:val="36"/>
        </w:rPr>
      </w:pPr>
      <w:r w:rsidRPr="0004040F">
        <w:rPr>
          <w:b/>
          <w:bCs/>
          <w:sz w:val="36"/>
          <w:szCs w:val="36"/>
        </w:rPr>
        <w:t>SUDEP South Project</w:t>
      </w:r>
    </w:p>
    <w:p w:rsidR="00A30757" w:rsidRDefault="00A30757" w:rsidP="00A30757">
      <w:pPr>
        <w:pStyle w:val="Header"/>
        <w:tabs>
          <w:tab w:val="left" w:pos="6090"/>
        </w:tabs>
        <w:rPr>
          <w:b/>
          <w:bCs/>
          <w:sz w:val="32"/>
          <w:szCs w:val="32"/>
        </w:rPr>
      </w:pPr>
    </w:p>
    <w:p w:rsidR="00A30757" w:rsidRPr="0004040F" w:rsidRDefault="00A30757" w:rsidP="00A30757">
      <w:pPr>
        <w:pStyle w:val="Header"/>
        <w:tabs>
          <w:tab w:val="left" w:pos="6090"/>
        </w:tabs>
        <w:ind w:left="90"/>
        <w:jc w:val="center"/>
        <w:rPr>
          <w:b/>
          <w:bCs/>
          <w:sz w:val="32"/>
          <w:szCs w:val="32"/>
        </w:rPr>
      </w:pPr>
      <w:r w:rsidRPr="0004040F">
        <w:rPr>
          <w:b/>
          <w:bCs/>
          <w:sz w:val="32"/>
          <w:szCs w:val="32"/>
        </w:rPr>
        <w:t>Making Sahab City Green – Green Development at Sahab Municipality</w:t>
      </w:r>
    </w:p>
    <w:p w:rsidR="007040DE" w:rsidRDefault="007040DE" w:rsidP="00A30757">
      <w:pPr>
        <w:rPr>
          <w:b/>
          <w:bCs/>
          <w:color w:val="4F81BD" w:themeColor="accent1"/>
          <w:sz w:val="40"/>
          <w:szCs w:val="40"/>
          <w:lang w:val="en-GB"/>
        </w:rPr>
      </w:pPr>
    </w:p>
    <w:p w:rsidR="003A4422" w:rsidRPr="003A4422" w:rsidRDefault="003A4422" w:rsidP="00140C0A">
      <w:pPr>
        <w:jc w:val="center"/>
        <w:rPr>
          <w:b/>
          <w:bCs/>
          <w:color w:val="4F81BD" w:themeColor="accent1"/>
          <w:sz w:val="40"/>
          <w:szCs w:val="40"/>
          <w:lang w:val="en-GB"/>
        </w:rPr>
      </w:pPr>
      <w:r w:rsidRPr="003A4422">
        <w:rPr>
          <w:b/>
          <w:bCs/>
          <w:color w:val="4F81BD" w:themeColor="accent1"/>
          <w:sz w:val="40"/>
          <w:szCs w:val="40"/>
          <w:lang w:val="en-GB"/>
        </w:rPr>
        <w:t>E</w:t>
      </w:r>
      <w:r w:rsidR="009B0F0E">
        <w:rPr>
          <w:b/>
          <w:bCs/>
          <w:color w:val="4F81BD" w:themeColor="accent1"/>
          <w:sz w:val="40"/>
          <w:szCs w:val="40"/>
          <w:lang w:val="en-GB"/>
        </w:rPr>
        <w:t xml:space="preserve">nergy </w:t>
      </w:r>
      <w:r w:rsidRPr="003A4422">
        <w:rPr>
          <w:b/>
          <w:bCs/>
          <w:color w:val="4F81BD" w:themeColor="accent1"/>
          <w:sz w:val="40"/>
          <w:szCs w:val="40"/>
          <w:lang w:val="en-GB"/>
        </w:rPr>
        <w:t>E</w:t>
      </w:r>
      <w:r w:rsidR="009B0F0E">
        <w:rPr>
          <w:b/>
          <w:bCs/>
          <w:color w:val="4F81BD" w:themeColor="accent1"/>
          <w:sz w:val="40"/>
          <w:szCs w:val="40"/>
          <w:lang w:val="en-GB"/>
        </w:rPr>
        <w:t>fficiency</w:t>
      </w:r>
      <w:r w:rsidRPr="003A4422">
        <w:rPr>
          <w:b/>
          <w:bCs/>
          <w:color w:val="4F81BD" w:themeColor="accent1"/>
          <w:sz w:val="40"/>
          <w:szCs w:val="40"/>
          <w:lang w:val="en-GB"/>
        </w:rPr>
        <w:t>&amp; R</w:t>
      </w:r>
      <w:r w:rsidR="009B0F0E">
        <w:rPr>
          <w:b/>
          <w:bCs/>
          <w:color w:val="4F81BD" w:themeColor="accent1"/>
          <w:sz w:val="40"/>
          <w:szCs w:val="40"/>
          <w:lang w:val="en-GB"/>
        </w:rPr>
        <w:t>enewable Energy</w:t>
      </w:r>
      <w:r w:rsidRPr="003A4422">
        <w:rPr>
          <w:b/>
          <w:bCs/>
          <w:color w:val="4F81BD" w:themeColor="accent1"/>
          <w:sz w:val="40"/>
          <w:szCs w:val="40"/>
          <w:lang w:val="en-GB"/>
        </w:rPr>
        <w:t xml:space="preserve"> Development </w:t>
      </w:r>
      <w:r>
        <w:rPr>
          <w:b/>
          <w:bCs/>
          <w:color w:val="4F81BD" w:themeColor="accent1"/>
          <w:sz w:val="40"/>
          <w:szCs w:val="40"/>
          <w:lang w:val="en-GB"/>
        </w:rPr>
        <w:t>Strategy</w:t>
      </w:r>
      <w:r w:rsidRPr="003A4422">
        <w:rPr>
          <w:b/>
          <w:bCs/>
          <w:color w:val="4F81BD" w:themeColor="accent1"/>
          <w:sz w:val="40"/>
          <w:szCs w:val="40"/>
          <w:lang w:val="en-GB"/>
        </w:rPr>
        <w:t xml:space="preserve"> for </w:t>
      </w:r>
      <w:r w:rsidR="00140C0A">
        <w:rPr>
          <w:b/>
          <w:bCs/>
          <w:color w:val="4F81BD" w:themeColor="accent1"/>
          <w:sz w:val="40"/>
          <w:szCs w:val="40"/>
          <w:lang w:val="en-GB"/>
        </w:rPr>
        <w:t>Sahab City</w:t>
      </w:r>
      <w:r w:rsidR="009B0F0E">
        <w:rPr>
          <w:b/>
          <w:bCs/>
          <w:color w:val="4F81BD" w:themeColor="accent1"/>
          <w:sz w:val="40"/>
          <w:szCs w:val="40"/>
          <w:lang w:val="en-GB"/>
        </w:rPr>
        <w:t xml:space="preserve"> in Jordan</w:t>
      </w:r>
    </w:p>
    <w:p w:rsidR="003A4422" w:rsidRPr="003A4422" w:rsidRDefault="003A4422" w:rsidP="003A4422">
      <w:pPr>
        <w:spacing w:after="0"/>
        <w:rPr>
          <w:rFonts w:cstheme="minorHAnsi"/>
          <w:lang w:val="en-GB"/>
        </w:rPr>
      </w:pPr>
    </w:p>
    <w:p w:rsidR="003A4422" w:rsidRPr="009B0F0E" w:rsidRDefault="003A4422" w:rsidP="003A4422">
      <w:pPr>
        <w:spacing w:after="0"/>
        <w:rPr>
          <w:rFonts w:cstheme="minorHAnsi"/>
          <w:b/>
          <w:bCs/>
          <w:sz w:val="32"/>
          <w:szCs w:val="32"/>
        </w:rPr>
      </w:pPr>
      <w:r w:rsidRPr="009B0F0E">
        <w:rPr>
          <w:rFonts w:cstheme="minorHAnsi"/>
          <w:b/>
          <w:bCs/>
          <w:sz w:val="32"/>
          <w:szCs w:val="32"/>
        </w:rPr>
        <w:t>Prepared For:</w:t>
      </w:r>
    </w:p>
    <w:p w:rsidR="009B0F0E" w:rsidRPr="009B0F0E" w:rsidRDefault="00140C0A" w:rsidP="009B0F0E">
      <w:pPr>
        <w:spacing w:after="0"/>
        <w:rPr>
          <w:rFonts w:cstheme="minorHAnsi"/>
          <w:b/>
          <w:bCs/>
          <w:sz w:val="48"/>
          <w:szCs w:val="48"/>
        </w:rPr>
      </w:pPr>
      <w:r>
        <w:rPr>
          <w:b/>
          <w:bCs/>
          <w:sz w:val="36"/>
          <w:szCs w:val="36"/>
          <w:lang w:val="en-GB"/>
        </w:rPr>
        <w:t>Municipality of Sahab</w:t>
      </w:r>
    </w:p>
    <w:p w:rsidR="003A4422" w:rsidRPr="00FA1368" w:rsidRDefault="003A4422" w:rsidP="009B0F0E">
      <w:pPr>
        <w:spacing w:after="0"/>
        <w:rPr>
          <w:rFonts w:cstheme="minorHAnsi"/>
          <w:b/>
          <w:bCs/>
          <w:sz w:val="40"/>
          <w:szCs w:val="40"/>
        </w:rPr>
      </w:pPr>
    </w:p>
    <w:p w:rsidR="003A4422" w:rsidRDefault="003A4422" w:rsidP="0004040F">
      <w:pPr>
        <w:tabs>
          <w:tab w:val="left" w:pos="1424"/>
        </w:tabs>
        <w:rPr>
          <w:rFonts w:cstheme="minorHAnsi"/>
          <w:b/>
          <w:bCs/>
          <w:sz w:val="28"/>
          <w:szCs w:val="28"/>
        </w:rPr>
      </w:pPr>
    </w:p>
    <w:p w:rsidR="003A4422" w:rsidRDefault="0004040F" w:rsidP="003A4422">
      <w:pPr>
        <w:tabs>
          <w:tab w:val="left" w:pos="1424"/>
        </w:tabs>
        <w:jc w:val="center"/>
        <w:rPr>
          <w:rFonts w:cstheme="minorHAnsi"/>
          <w:b/>
          <w:bCs/>
          <w:sz w:val="28"/>
          <w:szCs w:val="28"/>
        </w:rPr>
      </w:pPr>
      <w:r w:rsidRPr="00FA1368">
        <w:rPr>
          <w:rFonts w:cstheme="minorHAnsi"/>
          <w:b/>
          <w:bCs/>
          <w:sz w:val="28"/>
          <w:szCs w:val="28"/>
        </w:rPr>
        <w:t xml:space="preserve">Date of Submission: </w:t>
      </w:r>
      <w:r>
        <w:rPr>
          <w:rFonts w:cstheme="minorHAnsi"/>
          <w:b/>
          <w:bCs/>
          <w:sz w:val="28"/>
          <w:szCs w:val="28"/>
        </w:rPr>
        <w:t>November</w:t>
      </w:r>
      <w:r w:rsidRPr="00FA1368">
        <w:rPr>
          <w:rFonts w:cstheme="minorHAnsi"/>
          <w:b/>
          <w:bCs/>
          <w:sz w:val="28"/>
          <w:szCs w:val="28"/>
        </w:rPr>
        <w:t>, 2015</w:t>
      </w:r>
    </w:p>
    <w:sdt>
      <w:sdtPr>
        <w:rPr>
          <w:rFonts w:asciiTheme="minorHAnsi" w:eastAsiaTheme="minorEastAsia" w:hAnsiTheme="minorHAnsi" w:cstheme="minorBidi"/>
          <w:b w:val="0"/>
          <w:bCs w:val="0"/>
          <w:color w:val="auto"/>
          <w:sz w:val="22"/>
          <w:szCs w:val="22"/>
        </w:rPr>
        <w:id w:val="27711956"/>
        <w:docPartObj>
          <w:docPartGallery w:val="Table of Contents"/>
          <w:docPartUnique/>
        </w:docPartObj>
      </w:sdtPr>
      <w:sdtContent>
        <w:p w:rsidR="007040DE" w:rsidRDefault="007040DE">
          <w:pPr>
            <w:pStyle w:val="TOCHeading"/>
          </w:pPr>
          <w:r w:rsidRPr="008042B8">
            <w:rPr>
              <w:rFonts w:asciiTheme="minorHAnsi" w:hAnsiTheme="minorHAnsi" w:cstheme="minorHAnsi"/>
            </w:rPr>
            <w:t>Contents</w:t>
          </w:r>
        </w:p>
        <w:p w:rsidR="00C274BB" w:rsidRDefault="00304E58">
          <w:pPr>
            <w:pStyle w:val="TOC1"/>
            <w:tabs>
              <w:tab w:val="left" w:pos="440"/>
              <w:tab w:val="right" w:leader="dot" w:pos="9350"/>
            </w:tabs>
            <w:rPr>
              <w:noProof/>
            </w:rPr>
          </w:pPr>
          <w:r w:rsidRPr="00371F73">
            <w:rPr>
              <w:sz w:val="24"/>
              <w:szCs w:val="24"/>
            </w:rPr>
            <w:fldChar w:fldCharType="begin"/>
          </w:r>
          <w:r w:rsidR="007040DE" w:rsidRPr="00371F73">
            <w:rPr>
              <w:sz w:val="24"/>
              <w:szCs w:val="24"/>
            </w:rPr>
            <w:instrText xml:space="preserve"> TOC \o "1-3" \h \z \u </w:instrText>
          </w:r>
          <w:r w:rsidRPr="00371F73">
            <w:rPr>
              <w:sz w:val="24"/>
              <w:szCs w:val="24"/>
            </w:rPr>
            <w:fldChar w:fldCharType="separate"/>
          </w:r>
          <w:hyperlink w:anchor="_Toc435736004" w:history="1">
            <w:r w:rsidR="00C274BB" w:rsidRPr="00143461">
              <w:rPr>
                <w:rStyle w:val="Hyperlink"/>
                <w:rFonts w:eastAsiaTheme="majorEastAsia" w:cs="Arial"/>
                <w:b/>
                <w:bCs/>
                <w:noProof/>
              </w:rPr>
              <w:t>1.</w:t>
            </w:r>
            <w:r w:rsidR="00C274BB">
              <w:rPr>
                <w:noProof/>
              </w:rPr>
              <w:tab/>
            </w:r>
            <w:r w:rsidR="00C274BB" w:rsidRPr="00143461">
              <w:rPr>
                <w:rStyle w:val="Hyperlink"/>
                <w:rFonts w:eastAsiaTheme="majorEastAsia" w:cs="Arial"/>
                <w:b/>
                <w:bCs/>
                <w:noProof/>
              </w:rPr>
              <w:t>Introduction</w:t>
            </w:r>
            <w:r w:rsidR="00C274BB">
              <w:rPr>
                <w:noProof/>
                <w:webHidden/>
              </w:rPr>
              <w:tab/>
            </w:r>
            <w:r>
              <w:rPr>
                <w:noProof/>
                <w:webHidden/>
              </w:rPr>
              <w:fldChar w:fldCharType="begin"/>
            </w:r>
            <w:r w:rsidR="00C274BB">
              <w:rPr>
                <w:noProof/>
                <w:webHidden/>
              </w:rPr>
              <w:instrText xml:space="preserve"> PAGEREF _Toc435736004 \h </w:instrText>
            </w:r>
            <w:r>
              <w:rPr>
                <w:noProof/>
                <w:webHidden/>
              </w:rPr>
            </w:r>
            <w:r>
              <w:rPr>
                <w:noProof/>
                <w:webHidden/>
              </w:rPr>
              <w:fldChar w:fldCharType="separate"/>
            </w:r>
            <w:r w:rsidR="00544829">
              <w:rPr>
                <w:noProof/>
                <w:webHidden/>
              </w:rPr>
              <w:t>3</w:t>
            </w:r>
            <w:r>
              <w:rPr>
                <w:noProof/>
                <w:webHidden/>
              </w:rPr>
              <w:fldChar w:fldCharType="end"/>
            </w:r>
          </w:hyperlink>
        </w:p>
        <w:p w:rsidR="00C274BB" w:rsidRDefault="00304E58">
          <w:pPr>
            <w:pStyle w:val="TOC1"/>
            <w:tabs>
              <w:tab w:val="left" w:pos="440"/>
              <w:tab w:val="right" w:leader="dot" w:pos="9350"/>
            </w:tabs>
            <w:rPr>
              <w:noProof/>
            </w:rPr>
          </w:pPr>
          <w:hyperlink w:anchor="_Toc435736005" w:history="1">
            <w:r w:rsidR="00C274BB" w:rsidRPr="00143461">
              <w:rPr>
                <w:rStyle w:val="Hyperlink"/>
                <w:rFonts w:eastAsiaTheme="majorEastAsia" w:cs="Arial"/>
                <w:b/>
                <w:bCs/>
                <w:noProof/>
              </w:rPr>
              <w:t>2.</w:t>
            </w:r>
            <w:r w:rsidR="00C274BB">
              <w:rPr>
                <w:noProof/>
              </w:rPr>
              <w:tab/>
            </w:r>
            <w:r w:rsidR="00C274BB" w:rsidRPr="00143461">
              <w:rPr>
                <w:rStyle w:val="Hyperlink"/>
                <w:rFonts w:eastAsiaTheme="majorEastAsia" w:cs="Arial"/>
                <w:b/>
                <w:bCs/>
                <w:noProof/>
              </w:rPr>
              <w:t>National efforts in the energy sector</w:t>
            </w:r>
            <w:r w:rsidR="00C274BB">
              <w:rPr>
                <w:noProof/>
                <w:webHidden/>
              </w:rPr>
              <w:tab/>
            </w:r>
            <w:r>
              <w:rPr>
                <w:noProof/>
                <w:webHidden/>
              </w:rPr>
              <w:fldChar w:fldCharType="begin"/>
            </w:r>
            <w:r w:rsidR="00C274BB">
              <w:rPr>
                <w:noProof/>
                <w:webHidden/>
              </w:rPr>
              <w:instrText xml:space="preserve"> PAGEREF _Toc435736005 \h </w:instrText>
            </w:r>
            <w:r>
              <w:rPr>
                <w:noProof/>
                <w:webHidden/>
              </w:rPr>
            </w:r>
            <w:r>
              <w:rPr>
                <w:noProof/>
                <w:webHidden/>
              </w:rPr>
              <w:fldChar w:fldCharType="separate"/>
            </w:r>
            <w:r w:rsidR="00544829">
              <w:rPr>
                <w:noProof/>
                <w:webHidden/>
              </w:rPr>
              <w:t>3</w:t>
            </w:r>
            <w:r>
              <w:rPr>
                <w:noProof/>
                <w:webHidden/>
              </w:rPr>
              <w:fldChar w:fldCharType="end"/>
            </w:r>
          </w:hyperlink>
        </w:p>
        <w:p w:rsidR="00C274BB" w:rsidRDefault="00304E58">
          <w:pPr>
            <w:pStyle w:val="TOC1"/>
            <w:tabs>
              <w:tab w:val="left" w:pos="440"/>
              <w:tab w:val="right" w:leader="dot" w:pos="9350"/>
            </w:tabs>
            <w:rPr>
              <w:noProof/>
            </w:rPr>
          </w:pPr>
          <w:hyperlink w:anchor="_Toc435736006" w:history="1">
            <w:r w:rsidR="00C274BB" w:rsidRPr="00143461">
              <w:rPr>
                <w:rStyle w:val="Hyperlink"/>
                <w:rFonts w:eastAsiaTheme="majorEastAsia" w:cs="Arial"/>
                <w:b/>
                <w:bCs/>
                <w:noProof/>
              </w:rPr>
              <w:t>3.</w:t>
            </w:r>
            <w:r w:rsidR="00C274BB">
              <w:rPr>
                <w:noProof/>
              </w:rPr>
              <w:tab/>
            </w:r>
            <w:r w:rsidR="00C274BB" w:rsidRPr="00143461">
              <w:rPr>
                <w:rStyle w:val="Hyperlink"/>
                <w:rFonts w:eastAsiaTheme="majorEastAsia" w:cs="Arial"/>
                <w:b/>
                <w:bCs/>
                <w:noProof/>
              </w:rPr>
              <w:t>Sahab City and its situation</w:t>
            </w:r>
            <w:r w:rsidR="00C274BB">
              <w:rPr>
                <w:noProof/>
                <w:webHidden/>
              </w:rPr>
              <w:tab/>
            </w:r>
            <w:r>
              <w:rPr>
                <w:noProof/>
                <w:webHidden/>
              </w:rPr>
              <w:fldChar w:fldCharType="begin"/>
            </w:r>
            <w:r w:rsidR="00C274BB">
              <w:rPr>
                <w:noProof/>
                <w:webHidden/>
              </w:rPr>
              <w:instrText xml:space="preserve"> PAGEREF _Toc435736006 \h </w:instrText>
            </w:r>
            <w:r>
              <w:rPr>
                <w:noProof/>
                <w:webHidden/>
              </w:rPr>
            </w:r>
            <w:r>
              <w:rPr>
                <w:noProof/>
                <w:webHidden/>
              </w:rPr>
              <w:fldChar w:fldCharType="separate"/>
            </w:r>
            <w:r w:rsidR="00544829">
              <w:rPr>
                <w:noProof/>
                <w:webHidden/>
              </w:rPr>
              <w:t>6</w:t>
            </w:r>
            <w:r>
              <w:rPr>
                <w:noProof/>
                <w:webHidden/>
              </w:rPr>
              <w:fldChar w:fldCharType="end"/>
            </w:r>
          </w:hyperlink>
        </w:p>
        <w:p w:rsidR="00C274BB" w:rsidRDefault="00304E58">
          <w:pPr>
            <w:pStyle w:val="TOC1"/>
            <w:tabs>
              <w:tab w:val="left" w:pos="660"/>
              <w:tab w:val="right" w:leader="dot" w:pos="9350"/>
            </w:tabs>
            <w:rPr>
              <w:noProof/>
            </w:rPr>
          </w:pPr>
          <w:hyperlink w:anchor="_Toc435736007" w:history="1">
            <w:r w:rsidR="00C274BB" w:rsidRPr="00143461">
              <w:rPr>
                <w:rStyle w:val="Hyperlink"/>
                <w:rFonts w:eastAsiaTheme="majorEastAsia" w:cs="Arial"/>
                <w:b/>
                <w:bCs/>
                <w:noProof/>
              </w:rPr>
              <w:t>3.1.</w:t>
            </w:r>
            <w:r w:rsidR="00C274BB">
              <w:rPr>
                <w:noProof/>
              </w:rPr>
              <w:tab/>
            </w:r>
            <w:r w:rsidR="00C274BB" w:rsidRPr="00143461">
              <w:rPr>
                <w:rStyle w:val="Hyperlink"/>
                <w:rFonts w:eastAsiaTheme="majorEastAsia" w:cs="Arial"/>
                <w:b/>
                <w:bCs/>
                <w:noProof/>
              </w:rPr>
              <w:t>About Sahab city</w:t>
            </w:r>
            <w:r w:rsidR="00C274BB">
              <w:rPr>
                <w:noProof/>
                <w:webHidden/>
              </w:rPr>
              <w:tab/>
            </w:r>
            <w:r>
              <w:rPr>
                <w:noProof/>
                <w:webHidden/>
              </w:rPr>
              <w:fldChar w:fldCharType="begin"/>
            </w:r>
            <w:r w:rsidR="00C274BB">
              <w:rPr>
                <w:noProof/>
                <w:webHidden/>
              </w:rPr>
              <w:instrText xml:space="preserve"> PAGEREF _Toc435736007 \h </w:instrText>
            </w:r>
            <w:r>
              <w:rPr>
                <w:noProof/>
                <w:webHidden/>
              </w:rPr>
            </w:r>
            <w:r>
              <w:rPr>
                <w:noProof/>
                <w:webHidden/>
              </w:rPr>
              <w:fldChar w:fldCharType="separate"/>
            </w:r>
            <w:r w:rsidR="00544829">
              <w:rPr>
                <w:noProof/>
                <w:webHidden/>
              </w:rPr>
              <w:t>6</w:t>
            </w:r>
            <w:r>
              <w:rPr>
                <w:noProof/>
                <w:webHidden/>
              </w:rPr>
              <w:fldChar w:fldCharType="end"/>
            </w:r>
          </w:hyperlink>
        </w:p>
        <w:p w:rsidR="00C274BB" w:rsidRDefault="00304E58">
          <w:pPr>
            <w:pStyle w:val="TOC2"/>
            <w:tabs>
              <w:tab w:val="left" w:pos="880"/>
              <w:tab w:val="right" w:leader="dot" w:pos="9350"/>
            </w:tabs>
            <w:rPr>
              <w:noProof/>
            </w:rPr>
          </w:pPr>
          <w:hyperlink w:anchor="_Toc435736008" w:history="1">
            <w:r w:rsidR="00C274BB" w:rsidRPr="00143461">
              <w:rPr>
                <w:rStyle w:val="Hyperlink"/>
                <w:rFonts w:eastAsiaTheme="majorEastAsia" w:cs="Arial"/>
                <w:b/>
                <w:bCs/>
                <w:noProof/>
              </w:rPr>
              <w:t>3.2.</w:t>
            </w:r>
            <w:r w:rsidR="00C274BB">
              <w:rPr>
                <w:noProof/>
              </w:rPr>
              <w:tab/>
            </w:r>
            <w:r w:rsidR="00C274BB" w:rsidRPr="00143461">
              <w:rPr>
                <w:rStyle w:val="Hyperlink"/>
                <w:rFonts w:eastAsiaTheme="majorEastAsia" w:cs="Arial"/>
                <w:b/>
                <w:bCs/>
                <w:noProof/>
              </w:rPr>
              <w:t>Current Energy situation</w:t>
            </w:r>
            <w:r w:rsidR="00C274BB">
              <w:rPr>
                <w:noProof/>
                <w:webHidden/>
              </w:rPr>
              <w:tab/>
            </w:r>
            <w:r>
              <w:rPr>
                <w:noProof/>
                <w:webHidden/>
              </w:rPr>
              <w:fldChar w:fldCharType="begin"/>
            </w:r>
            <w:r w:rsidR="00C274BB">
              <w:rPr>
                <w:noProof/>
                <w:webHidden/>
              </w:rPr>
              <w:instrText xml:space="preserve"> PAGEREF _Toc435736008 \h </w:instrText>
            </w:r>
            <w:r>
              <w:rPr>
                <w:noProof/>
                <w:webHidden/>
              </w:rPr>
            </w:r>
            <w:r>
              <w:rPr>
                <w:noProof/>
                <w:webHidden/>
              </w:rPr>
              <w:fldChar w:fldCharType="separate"/>
            </w:r>
            <w:r w:rsidR="00544829">
              <w:rPr>
                <w:noProof/>
                <w:webHidden/>
              </w:rPr>
              <w:t>6</w:t>
            </w:r>
            <w:r>
              <w:rPr>
                <w:noProof/>
                <w:webHidden/>
              </w:rPr>
              <w:fldChar w:fldCharType="end"/>
            </w:r>
          </w:hyperlink>
        </w:p>
        <w:p w:rsidR="00C274BB" w:rsidRDefault="00304E58">
          <w:pPr>
            <w:pStyle w:val="TOC1"/>
            <w:tabs>
              <w:tab w:val="left" w:pos="440"/>
              <w:tab w:val="right" w:leader="dot" w:pos="9350"/>
            </w:tabs>
            <w:rPr>
              <w:noProof/>
            </w:rPr>
          </w:pPr>
          <w:hyperlink w:anchor="_Toc435736009" w:history="1">
            <w:r w:rsidR="00C274BB" w:rsidRPr="00143461">
              <w:rPr>
                <w:rStyle w:val="Hyperlink"/>
                <w:rFonts w:eastAsiaTheme="majorEastAsia" w:cs="Arial"/>
                <w:b/>
                <w:bCs/>
                <w:noProof/>
              </w:rPr>
              <w:t>4.</w:t>
            </w:r>
            <w:r w:rsidR="00C274BB">
              <w:rPr>
                <w:noProof/>
              </w:rPr>
              <w:tab/>
            </w:r>
            <w:r w:rsidR="00C274BB" w:rsidRPr="00143461">
              <w:rPr>
                <w:rStyle w:val="Hyperlink"/>
                <w:rFonts w:eastAsiaTheme="majorEastAsia" w:cs="Arial"/>
                <w:b/>
                <w:bCs/>
                <w:noProof/>
              </w:rPr>
              <w:t>EE &amp; RE strategy</w:t>
            </w:r>
            <w:r w:rsidR="00C274BB">
              <w:rPr>
                <w:noProof/>
                <w:webHidden/>
              </w:rPr>
              <w:tab/>
            </w:r>
            <w:r>
              <w:rPr>
                <w:noProof/>
                <w:webHidden/>
              </w:rPr>
              <w:fldChar w:fldCharType="begin"/>
            </w:r>
            <w:r w:rsidR="00C274BB">
              <w:rPr>
                <w:noProof/>
                <w:webHidden/>
              </w:rPr>
              <w:instrText xml:space="preserve"> PAGEREF _Toc435736009 \h </w:instrText>
            </w:r>
            <w:r>
              <w:rPr>
                <w:noProof/>
                <w:webHidden/>
              </w:rPr>
            </w:r>
            <w:r>
              <w:rPr>
                <w:noProof/>
                <w:webHidden/>
              </w:rPr>
              <w:fldChar w:fldCharType="separate"/>
            </w:r>
            <w:r w:rsidR="00544829">
              <w:rPr>
                <w:noProof/>
                <w:webHidden/>
              </w:rPr>
              <w:t>7</w:t>
            </w:r>
            <w:r>
              <w:rPr>
                <w:noProof/>
                <w:webHidden/>
              </w:rPr>
              <w:fldChar w:fldCharType="end"/>
            </w:r>
          </w:hyperlink>
        </w:p>
        <w:p w:rsidR="00C274BB" w:rsidRDefault="00304E58">
          <w:pPr>
            <w:pStyle w:val="TOC2"/>
            <w:tabs>
              <w:tab w:val="left" w:pos="880"/>
              <w:tab w:val="right" w:leader="dot" w:pos="9350"/>
            </w:tabs>
            <w:rPr>
              <w:noProof/>
            </w:rPr>
          </w:pPr>
          <w:hyperlink w:anchor="_Toc435736010" w:history="1">
            <w:r w:rsidR="00C274BB" w:rsidRPr="00143461">
              <w:rPr>
                <w:rStyle w:val="Hyperlink"/>
                <w:rFonts w:eastAsiaTheme="majorEastAsia" w:cs="Arial"/>
                <w:b/>
                <w:bCs/>
                <w:noProof/>
              </w:rPr>
              <w:t>4.1.</w:t>
            </w:r>
            <w:r w:rsidR="00C274BB">
              <w:rPr>
                <w:noProof/>
              </w:rPr>
              <w:tab/>
            </w:r>
            <w:r w:rsidR="00C274BB" w:rsidRPr="00143461">
              <w:rPr>
                <w:rStyle w:val="Hyperlink"/>
                <w:rFonts w:eastAsiaTheme="majorEastAsia" w:cs="Arial"/>
                <w:b/>
                <w:bCs/>
                <w:noProof/>
              </w:rPr>
              <w:t>Energy Consumption Baseline for last 2 years</w:t>
            </w:r>
            <w:r w:rsidR="00C274BB">
              <w:rPr>
                <w:noProof/>
                <w:webHidden/>
              </w:rPr>
              <w:tab/>
            </w:r>
            <w:r>
              <w:rPr>
                <w:noProof/>
                <w:webHidden/>
              </w:rPr>
              <w:fldChar w:fldCharType="begin"/>
            </w:r>
            <w:r w:rsidR="00C274BB">
              <w:rPr>
                <w:noProof/>
                <w:webHidden/>
              </w:rPr>
              <w:instrText xml:space="preserve"> PAGEREF _Toc435736010 \h </w:instrText>
            </w:r>
            <w:r>
              <w:rPr>
                <w:noProof/>
                <w:webHidden/>
              </w:rPr>
            </w:r>
            <w:r>
              <w:rPr>
                <w:noProof/>
                <w:webHidden/>
              </w:rPr>
              <w:fldChar w:fldCharType="separate"/>
            </w:r>
            <w:r w:rsidR="00544829">
              <w:rPr>
                <w:noProof/>
                <w:webHidden/>
              </w:rPr>
              <w:t>7</w:t>
            </w:r>
            <w:r>
              <w:rPr>
                <w:noProof/>
                <w:webHidden/>
              </w:rPr>
              <w:fldChar w:fldCharType="end"/>
            </w:r>
          </w:hyperlink>
        </w:p>
        <w:p w:rsidR="00C274BB" w:rsidRDefault="00304E58">
          <w:pPr>
            <w:pStyle w:val="TOC2"/>
            <w:tabs>
              <w:tab w:val="left" w:pos="880"/>
              <w:tab w:val="right" w:leader="dot" w:pos="9350"/>
            </w:tabs>
            <w:rPr>
              <w:noProof/>
            </w:rPr>
          </w:pPr>
          <w:hyperlink w:anchor="_Toc435736011" w:history="1">
            <w:r w:rsidR="00C274BB" w:rsidRPr="00143461">
              <w:rPr>
                <w:rStyle w:val="Hyperlink"/>
                <w:rFonts w:eastAsiaTheme="majorEastAsia" w:cs="Arial"/>
                <w:b/>
                <w:bCs/>
                <w:noProof/>
              </w:rPr>
              <w:t>4.2.</w:t>
            </w:r>
            <w:r w:rsidR="00C274BB">
              <w:rPr>
                <w:noProof/>
              </w:rPr>
              <w:tab/>
            </w:r>
            <w:r w:rsidR="00C274BB" w:rsidRPr="00143461">
              <w:rPr>
                <w:rStyle w:val="Hyperlink"/>
                <w:rFonts w:eastAsiaTheme="majorEastAsia" w:cs="Arial"/>
                <w:b/>
                <w:bCs/>
                <w:noProof/>
              </w:rPr>
              <w:t>Energy Consumption reduction Target for 10 years</w:t>
            </w:r>
            <w:r w:rsidR="00C274BB">
              <w:rPr>
                <w:noProof/>
                <w:webHidden/>
              </w:rPr>
              <w:tab/>
            </w:r>
            <w:r>
              <w:rPr>
                <w:noProof/>
                <w:webHidden/>
              </w:rPr>
              <w:fldChar w:fldCharType="begin"/>
            </w:r>
            <w:r w:rsidR="00C274BB">
              <w:rPr>
                <w:noProof/>
                <w:webHidden/>
              </w:rPr>
              <w:instrText xml:space="preserve"> PAGEREF _Toc435736011 \h </w:instrText>
            </w:r>
            <w:r>
              <w:rPr>
                <w:noProof/>
                <w:webHidden/>
              </w:rPr>
            </w:r>
            <w:r>
              <w:rPr>
                <w:noProof/>
                <w:webHidden/>
              </w:rPr>
              <w:fldChar w:fldCharType="separate"/>
            </w:r>
            <w:r w:rsidR="00544829">
              <w:rPr>
                <w:noProof/>
                <w:webHidden/>
              </w:rPr>
              <w:t>10</w:t>
            </w:r>
            <w:r>
              <w:rPr>
                <w:noProof/>
                <w:webHidden/>
              </w:rPr>
              <w:fldChar w:fldCharType="end"/>
            </w:r>
          </w:hyperlink>
        </w:p>
        <w:p w:rsidR="00C274BB" w:rsidRDefault="00304E58">
          <w:pPr>
            <w:pStyle w:val="TOC1"/>
            <w:tabs>
              <w:tab w:val="left" w:pos="440"/>
              <w:tab w:val="right" w:leader="dot" w:pos="9350"/>
            </w:tabs>
            <w:rPr>
              <w:noProof/>
            </w:rPr>
          </w:pPr>
          <w:hyperlink w:anchor="_Toc435736012" w:history="1">
            <w:r w:rsidR="00C274BB" w:rsidRPr="00143461">
              <w:rPr>
                <w:rStyle w:val="Hyperlink"/>
                <w:rFonts w:eastAsiaTheme="majorEastAsia" w:cs="Arial"/>
                <w:b/>
                <w:bCs/>
                <w:noProof/>
              </w:rPr>
              <w:t>5.</w:t>
            </w:r>
            <w:r w:rsidR="00C274BB">
              <w:rPr>
                <w:noProof/>
              </w:rPr>
              <w:tab/>
            </w:r>
            <w:r w:rsidR="00C274BB" w:rsidRPr="00143461">
              <w:rPr>
                <w:rStyle w:val="Hyperlink"/>
                <w:rFonts w:eastAsiaTheme="majorEastAsia" w:cs="Arial"/>
                <w:b/>
                <w:bCs/>
                <w:noProof/>
              </w:rPr>
              <w:t>Energy Saving Measures Summary</w:t>
            </w:r>
            <w:r w:rsidR="00C274BB">
              <w:rPr>
                <w:noProof/>
                <w:webHidden/>
              </w:rPr>
              <w:tab/>
            </w:r>
            <w:r>
              <w:rPr>
                <w:noProof/>
                <w:webHidden/>
              </w:rPr>
              <w:fldChar w:fldCharType="begin"/>
            </w:r>
            <w:r w:rsidR="00C274BB">
              <w:rPr>
                <w:noProof/>
                <w:webHidden/>
              </w:rPr>
              <w:instrText xml:space="preserve"> PAGEREF _Toc435736012 \h </w:instrText>
            </w:r>
            <w:r>
              <w:rPr>
                <w:noProof/>
                <w:webHidden/>
              </w:rPr>
            </w:r>
            <w:r>
              <w:rPr>
                <w:noProof/>
                <w:webHidden/>
              </w:rPr>
              <w:fldChar w:fldCharType="separate"/>
            </w:r>
            <w:r w:rsidR="00544829">
              <w:rPr>
                <w:noProof/>
                <w:webHidden/>
              </w:rPr>
              <w:t>13</w:t>
            </w:r>
            <w:r>
              <w:rPr>
                <w:noProof/>
                <w:webHidden/>
              </w:rPr>
              <w:fldChar w:fldCharType="end"/>
            </w:r>
          </w:hyperlink>
        </w:p>
        <w:p w:rsidR="00C274BB" w:rsidRDefault="00304E58">
          <w:pPr>
            <w:pStyle w:val="TOC1"/>
            <w:tabs>
              <w:tab w:val="left" w:pos="440"/>
              <w:tab w:val="right" w:leader="dot" w:pos="9350"/>
            </w:tabs>
            <w:rPr>
              <w:noProof/>
            </w:rPr>
          </w:pPr>
          <w:hyperlink w:anchor="_Toc435736013" w:history="1">
            <w:r w:rsidR="00C274BB" w:rsidRPr="00143461">
              <w:rPr>
                <w:rStyle w:val="Hyperlink"/>
                <w:rFonts w:eastAsiaTheme="majorEastAsia" w:cs="Arial"/>
                <w:b/>
                <w:bCs/>
                <w:noProof/>
              </w:rPr>
              <w:t>6.</w:t>
            </w:r>
            <w:r w:rsidR="00C274BB">
              <w:rPr>
                <w:noProof/>
              </w:rPr>
              <w:tab/>
            </w:r>
            <w:r w:rsidR="00C274BB" w:rsidRPr="00143461">
              <w:rPr>
                <w:rStyle w:val="Hyperlink"/>
                <w:rFonts w:eastAsiaTheme="majorEastAsia" w:cs="Arial"/>
                <w:b/>
                <w:bCs/>
                <w:noProof/>
              </w:rPr>
              <w:t>Detailed description of the saving measures</w:t>
            </w:r>
            <w:r w:rsidR="00C274BB">
              <w:rPr>
                <w:noProof/>
                <w:webHidden/>
              </w:rPr>
              <w:tab/>
            </w:r>
            <w:r>
              <w:rPr>
                <w:noProof/>
                <w:webHidden/>
              </w:rPr>
              <w:fldChar w:fldCharType="begin"/>
            </w:r>
            <w:r w:rsidR="00C274BB">
              <w:rPr>
                <w:noProof/>
                <w:webHidden/>
              </w:rPr>
              <w:instrText xml:space="preserve"> PAGEREF _Toc435736013 \h </w:instrText>
            </w:r>
            <w:r>
              <w:rPr>
                <w:noProof/>
                <w:webHidden/>
              </w:rPr>
            </w:r>
            <w:r>
              <w:rPr>
                <w:noProof/>
                <w:webHidden/>
              </w:rPr>
              <w:fldChar w:fldCharType="separate"/>
            </w:r>
            <w:r w:rsidR="00544829">
              <w:rPr>
                <w:noProof/>
                <w:webHidden/>
              </w:rPr>
              <w:t>16</w:t>
            </w:r>
            <w:r>
              <w:rPr>
                <w:noProof/>
                <w:webHidden/>
              </w:rPr>
              <w:fldChar w:fldCharType="end"/>
            </w:r>
          </w:hyperlink>
        </w:p>
        <w:p w:rsidR="00C274BB" w:rsidRDefault="00304E58">
          <w:pPr>
            <w:pStyle w:val="TOC1"/>
            <w:tabs>
              <w:tab w:val="left" w:pos="440"/>
              <w:tab w:val="right" w:leader="dot" w:pos="9350"/>
            </w:tabs>
            <w:rPr>
              <w:noProof/>
            </w:rPr>
          </w:pPr>
          <w:hyperlink w:anchor="_Toc435736014" w:history="1">
            <w:r w:rsidR="00C274BB" w:rsidRPr="00143461">
              <w:rPr>
                <w:rStyle w:val="Hyperlink"/>
                <w:rFonts w:eastAsiaTheme="majorEastAsia" w:cs="Arial"/>
                <w:b/>
                <w:bCs/>
                <w:noProof/>
              </w:rPr>
              <w:t>7.</w:t>
            </w:r>
            <w:r w:rsidR="00C274BB">
              <w:rPr>
                <w:noProof/>
              </w:rPr>
              <w:tab/>
            </w:r>
            <w:r w:rsidR="00C274BB" w:rsidRPr="00143461">
              <w:rPr>
                <w:rStyle w:val="Hyperlink"/>
                <w:rFonts w:eastAsiaTheme="majorEastAsia" w:cs="Arial"/>
                <w:b/>
                <w:bCs/>
                <w:noProof/>
              </w:rPr>
              <w:t>Awareness and training program</w:t>
            </w:r>
            <w:r w:rsidR="00C274BB">
              <w:rPr>
                <w:noProof/>
                <w:webHidden/>
              </w:rPr>
              <w:tab/>
            </w:r>
            <w:r>
              <w:rPr>
                <w:noProof/>
                <w:webHidden/>
              </w:rPr>
              <w:fldChar w:fldCharType="begin"/>
            </w:r>
            <w:r w:rsidR="00C274BB">
              <w:rPr>
                <w:noProof/>
                <w:webHidden/>
              </w:rPr>
              <w:instrText xml:space="preserve"> PAGEREF _Toc435736014 \h </w:instrText>
            </w:r>
            <w:r>
              <w:rPr>
                <w:noProof/>
                <w:webHidden/>
              </w:rPr>
            </w:r>
            <w:r>
              <w:rPr>
                <w:noProof/>
                <w:webHidden/>
              </w:rPr>
              <w:fldChar w:fldCharType="separate"/>
            </w:r>
            <w:r w:rsidR="00544829">
              <w:rPr>
                <w:noProof/>
                <w:webHidden/>
              </w:rPr>
              <w:t>22</w:t>
            </w:r>
            <w:r>
              <w:rPr>
                <w:noProof/>
                <w:webHidden/>
              </w:rPr>
              <w:fldChar w:fldCharType="end"/>
            </w:r>
          </w:hyperlink>
        </w:p>
        <w:p w:rsidR="00C274BB" w:rsidRDefault="00304E58">
          <w:pPr>
            <w:pStyle w:val="TOC1"/>
            <w:tabs>
              <w:tab w:val="left" w:pos="440"/>
              <w:tab w:val="right" w:leader="dot" w:pos="9350"/>
            </w:tabs>
            <w:rPr>
              <w:noProof/>
            </w:rPr>
          </w:pPr>
          <w:hyperlink w:anchor="_Toc435736015" w:history="1">
            <w:r w:rsidR="00C274BB" w:rsidRPr="00143461">
              <w:rPr>
                <w:rStyle w:val="Hyperlink"/>
                <w:rFonts w:eastAsiaTheme="majorEastAsia" w:cs="Arial"/>
                <w:b/>
                <w:bCs/>
                <w:noProof/>
              </w:rPr>
              <w:t>8.</w:t>
            </w:r>
            <w:r w:rsidR="00C274BB">
              <w:rPr>
                <w:noProof/>
              </w:rPr>
              <w:tab/>
            </w:r>
            <w:r w:rsidR="00C274BB" w:rsidRPr="00143461">
              <w:rPr>
                <w:rStyle w:val="Hyperlink"/>
                <w:rFonts w:eastAsiaTheme="majorEastAsia" w:cs="Arial"/>
                <w:b/>
                <w:bCs/>
                <w:noProof/>
              </w:rPr>
              <w:t>Desired Added-value elements due to the EE and RE strategy</w:t>
            </w:r>
            <w:r w:rsidR="00C274BB">
              <w:rPr>
                <w:noProof/>
                <w:webHidden/>
              </w:rPr>
              <w:tab/>
            </w:r>
            <w:r>
              <w:rPr>
                <w:noProof/>
                <w:webHidden/>
              </w:rPr>
              <w:fldChar w:fldCharType="begin"/>
            </w:r>
            <w:r w:rsidR="00C274BB">
              <w:rPr>
                <w:noProof/>
                <w:webHidden/>
              </w:rPr>
              <w:instrText xml:space="preserve"> PAGEREF _Toc435736015 \h </w:instrText>
            </w:r>
            <w:r>
              <w:rPr>
                <w:noProof/>
                <w:webHidden/>
              </w:rPr>
            </w:r>
            <w:r>
              <w:rPr>
                <w:noProof/>
                <w:webHidden/>
              </w:rPr>
              <w:fldChar w:fldCharType="separate"/>
            </w:r>
            <w:r w:rsidR="00544829">
              <w:rPr>
                <w:noProof/>
                <w:webHidden/>
              </w:rPr>
              <w:t>24</w:t>
            </w:r>
            <w:r>
              <w:rPr>
                <w:noProof/>
                <w:webHidden/>
              </w:rPr>
              <w:fldChar w:fldCharType="end"/>
            </w:r>
          </w:hyperlink>
        </w:p>
        <w:p w:rsidR="007040DE" w:rsidRDefault="00304E58">
          <w:r w:rsidRPr="00371F73">
            <w:rPr>
              <w:sz w:val="24"/>
              <w:szCs w:val="24"/>
            </w:rPr>
            <w:fldChar w:fldCharType="end"/>
          </w:r>
        </w:p>
      </w:sdtContent>
    </w:sdt>
    <w:p w:rsidR="003A4422" w:rsidRDefault="003A4422" w:rsidP="003A4422">
      <w:pPr>
        <w:tabs>
          <w:tab w:val="left" w:pos="1424"/>
        </w:tabs>
        <w:jc w:val="center"/>
        <w:rPr>
          <w:rFonts w:cstheme="minorHAnsi"/>
          <w:b/>
          <w:bCs/>
          <w:sz w:val="28"/>
          <w:szCs w:val="28"/>
        </w:rPr>
      </w:pPr>
    </w:p>
    <w:p w:rsidR="003A4422" w:rsidRPr="00FA1368" w:rsidRDefault="003A4422" w:rsidP="003A4422">
      <w:pPr>
        <w:tabs>
          <w:tab w:val="left" w:pos="1424"/>
        </w:tabs>
        <w:jc w:val="center"/>
        <w:rPr>
          <w:rFonts w:cstheme="minorHAnsi"/>
          <w:b/>
          <w:bCs/>
          <w:sz w:val="28"/>
          <w:szCs w:val="28"/>
        </w:rPr>
      </w:pPr>
    </w:p>
    <w:p w:rsidR="007A57B4" w:rsidRPr="003A4422" w:rsidRDefault="007A57B4" w:rsidP="00AC7D9A">
      <w:pPr>
        <w:rPr>
          <w:b/>
          <w:bCs/>
          <w:color w:val="4F81BD" w:themeColor="accent1"/>
          <w:sz w:val="32"/>
          <w:szCs w:val="32"/>
        </w:rPr>
      </w:pPr>
    </w:p>
    <w:p w:rsidR="007A57B4" w:rsidRDefault="007A57B4" w:rsidP="00AC7D9A">
      <w:pPr>
        <w:rPr>
          <w:b/>
          <w:bCs/>
          <w:color w:val="4F81BD" w:themeColor="accent1"/>
          <w:sz w:val="32"/>
          <w:szCs w:val="32"/>
          <w:lang w:val="en-GB"/>
        </w:rPr>
      </w:pPr>
    </w:p>
    <w:p w:rsidR="007A57B4" w:rsidRDefault="007A57B4" w:rsidP="00AC7D9A">
      <w:pPr>
        <w:rPr>
          <w:b/>
          <w:bCs/>
          <w:color w:val="4F81BD" w:themeColor="accent1"/>
          <w:sz w:val="32"/>
          <w:szCs w:val="32"/>
          <w:lang w:val="en-GB"/>
        </w:rPr>
      </w:pPr>
    </w:p>
    <w:p w:rsidR="007A57B4" w:rsidRDefault="007A57B4" w:rsidP="00AC7D9A">
      <w:pPr>
        <w:rPr>
          <w:b/>
          <w:bCs/>
          <w:color w:val="4F81BD" w:themeColor="accent1"/>
          <w:sz w:val="32"/>
          <w:szCs w:val="32"/>
          <w:lang w:val="en-GB"/>
        </w:rPr>
      </w:pPr>
    </w:p>
    <w:p w:rsidR="007A57B4" w:rsidRDefault="007A57B4" w:rsidP="00AC7D9A">
      <w:pPr>
        <w:rPr>
          <w:b/>
          <w:bCs/>
          <w:color w:val="4F81BD" w:themeColor="accent1"/>
          <w:sz w:val="32"/>
          <w:szCs w:val="32"/>
          <w:lang w:val="en-GB"/>
        </w:rPr>
      </w:pPr>
    </w:p>
    <w:p w:rsidR="007A57B4" w:rsidRDefault="007A57B4" w:rsidP="00AC7D9A">
      <w:pPr>
        <w:rPr>
          <w:b/>
          <w:bCs/>
          <w:color w:val="4F81BD" w:themeColor="accent1"/>
          <w:sz w:val="32"/>
          <w:szCs w:val="32"/>
          <w:lang w:val="en-GB"/>
        </w:rPr>
      </w:pPr>
    </w:p>
    <w:p w:rsidR="007A57B4" w:rsidRDefault="007A57B4" w:rsidP="00AC7D9A">
      <w:pPr>
        <w:rPr>
          <w:b/>
          <w:bCs/>
          <w:color w:val="4F81BD" w:themeColor="accent1"/>
          <w:sz w:val="32"/>
          <w:szCs w:val="32"/>
          <w:lang w:val="en-GB"/>
        </w:rPr>
      </w:pPr>
    </w:p>
    <w:p w:rsidR="00CB1D35" w:rsidRPr="00C70AAE" w:rsidRDefault="00CB1D35" w:rsidP="007040DE">
      <w:pPr>
        <w:pStyle w:val="ListParagraph"/>
        <w:numPr>
          <w:ilvl w:val="0"/>
          <w:numId w:val="6"/>
        </w:numPr>
        <w:jc w:val="both"/>
        <w:outlineLvl w:val="0"/>
        <w:rPr>
          <w:rFonts w:eastAsiaTheme="majorEastAsia" w:cs="Arial"/>
          <w:b/>
          <w:bCs/>
          <w:color w:val="808080" w:themeColor="background1" w:themeShade="80"/>
          <w:sz w:val="32"/>
          <w:szCs w:val="32"/>
        </w:rPr>
      </w:pPr>
      <w:bookmarkStart w:id="0" w:name="_Toc435736004"/>
      <w:r w:rsidRPr="00C70AAE">
        <w:rPr>
          <w:rFonts w:eastAsiaTheme="majorEastAsia" w:cs="Arial"/>
          <w:b/>
          <w:bCs/>
          <w:color w:val="808080" w:themeColor="background1" w:themeShade="80"/>
          <w:sz w:val="32"/>
          <w:szCs w:val="32"/>
        </w:rPr>
        <w:lastRenderedPageBreak/>
        <w:t>Introduction</w:t>
      </w:r>
      <w:bookmarkEnd w:id="0"/>
    </w:p>
    <w:p w:rsidR="00CB1D35" w:rsidRPr="0052350A" w:rsidRDefault="00CB1D35" w:rsidP="00A166C2">
      <w:pPr>
        <w:jc w:val="both"/>
        <w:rPr>
          <w:sz w:val="24"/>
          <w:szCs w:val="24"/>
          <w:lang w:val="en-GB"/>
        </w:rPr>
      </w:pPr>
      <w:r w:rsidRPr="00BA1838">
        <w:rPr>
          <w:sz w:val="24"/>
          <w:szCs w:val="24"/>
          <w:lang w:val="en-GB"/>
        </w:rPr>
        <w:t>Jordan has very limited primary energy resources and depends</w:t>
      </w:r>
      <w:r w:rsidRPr="00CB1D35">
        <w:rPr>
          <w:sz w:val="24"/>
          <w:szCs w:val="24"/>
          <w:lang w:val="en-GB"/>
        </w:rPr>
        <w:t xml:space="preserve"> to a large extent on the imported petroleum, petroleum products and natural gas from neighbouring Arab countries. Due to economic growth and increasing population affected by the unstable political situation in the neighbouring countries, energy demand is expected to rise by at least </w:t>
      </w:r>
      <w:r w:rsidR="00432B71">
        <w:rPr>
          <w:sz w:val="24"/>
          <w:szCs w:val="24"/>
          <w:lang w:val="en-GB"/>
        </w:rPr>
        <w:t>37</w:t>
      </w:r>
      <w:r w:rsidRPr="00CB1D35">
        <w:rPr>
          <w:sz w:val="24"/>
          <w:szCs w:val="24"/>
          <w:lang w:val="en-GB"/>
        </w:rPr>
        <w:t xml:space="preserve"> percent over the next 2</w:t>
      </w:r>
      <w:r w:rsidR="00432B71">
        <w:rPr>
          <w:sz w:val="24"/>
          <w:szCs w:val="24"/>
          <w:lang w:val="en-GB"/>
        </w:rPr>
        <w:t>5</w:t>
      </w:r>
      <w:r w:rsidRPr="00CB1D35">
        <w:rPr>
          <w:sz w:val="24"/>
          <w:szCs w:val="24"/>
          <w:lang w:val="en-GB"/>
        </w:rPr>
        <w:t xml:space="preserve"> years</w:t>
      </w:r>
      <w:r w:rsidR="00544829">
        <w:rPr>
          <w:sz w:val="24"/>
          <w:szCs w:val="24"/>
          <w:lang w:val="en-GB"/>
        </w:rPr>
        <w:t>,</w:t>
      </w:r>
      <w:r w:rsidR="00A166C2">
        <w:rPr>
          <w:sz w:val="24"/>
          <w:szCs w:val="24"/>
          <w:vertAlign w:val="superscript"/>
          <w:lang w:val="en-GB"/>
        </w:rPr>
        <w:t xml:space="preserve"> </w:t>
      </w:r>
      <w:r w:rsidR="00A166C2">
        <w:rPr>
          <w:sz w:val="24"/>
          <w:szCs w:val="24"/>
          <w:lang w:val="en-GB"/>
        </w:rPr>
        <w:t>according to the energy outlook report 2014 for the international energy agency</w:t>
      </w:r>
      <w:r w:rsidRPr="00CB1D35">
        <w:rPr>
          <w:sz w:val="24"/>
          <w:szCs w:val="24"/>
          <w:lang w:val="en-GB"/>
        </w:rPr>
        <w:t>. The energy sector (including transportation and industrial energy activities) is by far the major source of Green House Gases (GHG) with emissions of 7</w:t>
      </w:r>
      <w:r w:rsidR="00A166C2">
        <w:rPr>
          <w:sz w:val="24"/>
          <w:szCs w:val="24"/>
          <w:lang w:val="en-GB"/>
        </w:rPr>
        <w:t>7</w:t>
      </w:r>
      <w:r w:rsidRPr="00CB1D35">
        <w:rPr>
          <w:sz w:val="24"/>
          <w:szCs w:val="24"/>
          <w:lang w:val="en-GB"/>
        </w:rPr>
        <w:t>% of the total GHG emission of Jordan</w:t>
      </w:r>
      <w:r w:rsidR="00A166C2">
        <w:rPr>
          <w:sz w:val="24"/>
          <w:szCs w:val="24"/>
          <w:lang w:val="en-GB"/>
        </w:rPr>
        <w:t xml:space="preserve"> </w:t>
      </w:r>
      <w:r w:rsidR="00A166C2" w:rsidRPr="00A166C2">
        <w:rPr>
          <w:sz w:val="24"/>
          <w:szCs w:val="24"/>
        </w:rPr>
        <w:t>according to the preliminary results of the Kingdom’s Third National Communication to the United Nations Framework Convention on Climate Change</w:t>
      </w:r>
      <w:r w:rsidR="00544829">
        <w:rPr>
          <w:sz w:val="24"/>
          <w:szCs w:val="24"/>
        </w:rPr>
        <w:t xml:space="preserve"> 2014</w:t>
      </w:r>
      <w:r w:rsidR="00A166C2">
        <w:rPr>
          <w:sz w:val="24"/>
          <w:szCs w:val="24"/>
        </w:rPr>
        <w:t>.</w:t>
      </w:r>
      <w:r w:rsidR="00A166C2" w:rsidRPr="00A166C2">
        <w:rPr>
          <w:sz w:val="24"/>
          <w:szCs w:val="24"/>
        </w:rPr>
        <w:t xml:space="preserve"> </w:t>
      </w:r>
      <w:r w:rsidRPr="00CB1D35">
        <w:rPr>
          <w:sz w:val="24"/>
          <w:szCs w:val="24"/>
          <w:lang w:val="en-GB"/>
        </w:rPr>
        <w:t xml:space="preserve">On the other hand, the </w:t>
      </w:r>
      <w:r w:rsidRPr="00D02A28">
        <w:rPr>
          <w:sz w:val="24"/>
          <w:szCs w:val="24"/>
          <w:lang w:val="en-GB"/>
        </w:rPr>
        <w:t>overall energy intensity in Jordan is higher than in most</w:t>
      </w:r>
      <w:r w:rsidRPr="00CB1D35">
        <w:rPr>
          <w:sz w:val="24"/>
          <w:szCs w:val="24"/>
          <w:lang w:val="en-GB"/>
        </w:rPr>
        <w:t xml:space="preserve"> Middle East and North Africa (MENA) countries, mainly as a result of relative low end-use energy efficiency. Cost-effective energy conservation opportunities exist in all major energy consuming sectors, and there is considerable scope for demand-side management, renewable energy sources and energy efficiency measures.  Accordingly, a coordinated effort to improve the energy efficiency in all consuming sectors was started by the Government of Jordan in 2004 and issued the energy efficiency strategy. </w:t>
      </w:r>
    </w:p>
    <w:p w:rsidR="00CB1D35" w:rsidRPr="00C70AAE" w:rsidRDefault="00C70AAE" w:rsidP="007040DE">
      <w:pPr>
        <w:pStyle w:val="ListParagraph"/>
        <w:numPr>
          <w:ilvl w:val="0"/>
          <w:numId w:val="6"/>
        </w:numPr>
        <w:jc w:val="both"/>
        <w:outlineLvl w:val="0"/>
        <w:rPr>
          <w:rFonts w:eastAsiaTheme="majorEastAsia" w:cs="Arial"/>
          <w:b/>
          <w:bCs/>
          <w:color w:val="808080" w:themeColor="background1" w:themeShade="80"/>
          <w:sz w:val="32"/>
          <w:szCs w:val="32"/>
        </w:rPr>
      </w:pPr>
      <w:bookmarkStart w:id="1" w:name="_Toc435736005"/>
      <w:r w:rsidRPr="00C70AAE">
        <w:rPr>
          <w:rFonts w:eastAsiaTheme="majorEastAsia" w:cs="Arial"/>
          <w:b/>
          <w:bCs/>
          <w:color w:val="808080" w:themeColor="background1" w:themeShade="80"/>
          <w:sz w:val="32"/>
          <w:szCs w:val="32"/>
        </w:rPr>
        <w:t>National efforts in the energy sector</w:t>
      </w:r>
      <w:bookmarkEnd w:id="1"/>
    </w:p>
    <w:p w:rsidR="00CB1D35" w:rsidRPr="00CB1D35" w:rsidRDefault="00CB1D35" w:rsidP="006F3BD3">
      <w:pPr>
        <w:spacing w:after="0"/>
        <w:jc w:val="both"/>
        <w:rPr>
          <w:sz w:val="24"/>
          <w:szCs w:val="24"/>
          <w:lang w:val="en-GB"/>
        </w:rPr>
      </w:pPr>
      <w:r w:rsidRPr="00CB1D35">
        <w:rPr>
          <w:sz w:val="24"/>
          <w:szCs w:val="24"/>
          <w:lang w:val="en-GB"/>
        </w:rPr>
        <w:t>The Energy Strategy sets security of supply and reducing the fiscal burden to the national budget imposed by the national energy bill as the main national priorities. The main objectives in this regard are:</w:t>
      </w:r>
    </w:p>
    <w:p w:rsidR="003A3D42" w:rsidRDefault="00CB1D35">
      <w:pPr>
        <w:numPr>
          <w:ilvl w:val="0"/>
          <w:numId w:val="1"/>
        </w:numPr>
        <w:tabs>
          <w:tab w:val="left" w:pos="360"/>
        </w:tabs>
        <w:spacing w:after="0"/>
        <w:ind w:left="270" w:hanging="270"/>
        <w:jc w:val="both"/>
        <w:rPr>
          <w:sz w:val="24"/>
          <w:szCs w:val="24"/>
          <w:lang w:val="en-GB"/>
        </w:rPr>
      </w:pPr>
      <w:r w:rsidRPr="00CB1D35">
        <w:rPr>
          <w:sz w:val="24"/>
          <w:szCs w:val="24"/>
          <w:lang w:val="en-GB"/>
        </w:rPr>
        <w:t>Exploiting renewable energy sources for increasing the percentage of their contribution to the total energy mix, achieving safe supply there from and promoting investment there</w:t>
      </w:r>
      <w:r w:rsidR="00E274AA">
        <w:rPr>
          <w:sz w:val="24"/>
          <w:szCs w:val="24"/>
          <w:lang w:val="en-GB"/>
        </w:rPr>
        <w:t xml:space="preserve"> to.</w:t>
      </w:r>
    </w:p>
    <w:p w:rsidR="003A3D42" w:rsidRDefault="00CB1D35">
      <w:pPr>
        <w:numPr>
          <w:ilvl w:val="0"/>
          <w:numId w:val="1"/>
        </w:numPr>
        <w:tabs>
          <w:tab w:val="left" w:pos="360"/>
        </w:tabs>
        <w:spacing w:after="0"/>
        <w:ind w:left="270" w:hanging="270"/>
        <w:jc w:val="both"/>
        <w:rPr>
          <w:sz w:val="24"/>
          <w:szCs w:val="24"/>
          <w:lang w:val="en-GB"/>
        </w:rPr>
      </w:pPr>
      <w:r w:rsidRPr="00CB1D35">
        <w:rPr>
          <w:sz w:val="24"/>
          <w:szCs w:val="24"/>
          <w:lang w:val="en-GB"/>
        </w:rPr>
        <w:t>Contributing to environmental protection and achieving sustainable development by promoting the explo</w:t>
      </w:r>
      <w:r w:rsidR="00E274AA">
        <w:rPr>
          <w:sz w:val="24"/>
          <w:szCs w:val="24"/>
          <w:lang w:val="en-GB"/>
        </w:rPr>
        <w:t>itation of renewable energy.</w:t>
      </w:r>
    </w:p>
    <w:p w:rsidR="003A3D42" w:rsidRDefault="00CB1D35">
      <w:pPr>
        <w:numPr>
          <w:ilvl w:val="0"/>
          <w:numId w:val="1"/>
        </w:numPr>
        <w:tabs>
          <w:tab w:val="left" w:pos="360"/>
        </w:tabs>
        <w:spacing w:after="0"/>
        <w:ind w:left="270" w:hanging="270"/>
        <w:jc w:val="both"/>
        <w:rPr>
          <w:sz w:val="24"/>
          <w:szCs w:val="24"/>
          <w:lang w:val="en-GB"/>
        </w:rPr>
      </w:pPr>
      <w:r w:rsidRPr="00CB1D35">
        <w:rPr>
          <w:sz w:val="24"/>
          <w:szCs w:val="24"/>
          <w:lang w:val="en-GB"/>
        </w:rPr>
        <w:t xml:space="preserve">Rationalizing the exploitation of energy and improving its efficiency in various sectors in conventional electricity generation (through fuel switch) and in electricity distribution (efficiency improvements), a substantial technical potential for GHG reduction exists. </w:t>
      </w:r>
    </w:p>
    <w:p w:rsidR="003A3D42" w:rsidRDefault="003A3D42">
      <w:pPr>
        <w:tabs>
          <w:tab w:val="left" w:pos="360"/>
        </w:tabs>
        <w:spacing w:after="0"/>
        <w:ind w:left="270"/>
        <w:jc w:val="both"/>
        <w:rPr>
          <w:sz w:val="24"/>
          <w:szCs w:val="24"/>
          <w:lang w:val="en-GB"/>
        </w:rPr>
      </w:pPr>
    </w:p>
    <w:p w:rsidR="00CB1D35" w:rsidRPr="00CB1D35" w:rsidRDefault="00CB1D35" w:rsidP="003B6D62">
      <w:pPr>
        <w:jc w:val="both"/>
        <w:rPr>
          <w:sz w:val="24"/>
          <w:szCs w:val="24"/>
          <w:lang w:val="en-GB"/>
        </w:rPr>
      </w:pPr>
      <w:r w:rsidRPr="00BA1838">
        <w:rPr>
          <w:sz w:val="24"/>
          <w:szCs w:val="24"/>
          <w:lang w:val="en-GB"/>
        </w:rPr>
        <w:t xml:space="preserve">The Renewable Energy and Energy Efficiency Law </w:t>
      </w:r>
      <w:r w:rsidR="003B6D62">
        <w:rPr>
          <w:sz w:val="24"/>
          <w:szCs w:val="24"/>
          <w:lang w:val="en-GB"/>
        </w:rPr>
        <w:t>has been</w:t>
      </w:r>
      <w:r w:rsidR="003A3D42">
        <w:rPr>
          <w:sz w:val="24"/>
          <w:szCs w:val="24"/>
          <w:lang w:val="en-GB"/>
        </w:rPr>
        <w:t xml:space="preserve"> </w:t>
      </w:r>
      <w:r w:rsidRPr="00BA1838">
        <w:rPr>
          <w:sz w:val="24"/>
          <w:szCs w:val="24"/>
          <w:lang w:val="en-GB"/>
        </w:rPr>
        <w:t>approved</w:t>
      </w:r>
      <w:r w:rsidRPr="00CB1D35">
        <w:rPr>
          <w:sz w:val="24"/>
          <w:szCs w:val="24"/>
          <w:lang w:val="en-GB"/>
        </w:rPr>
        <w:t xml:space="preserve"> in 2012.This law intends to promote private sector investment in renewable energy projects. Also, the Jordan </w:t>
      </w:r>
      <w:r w:rsidRPr="00CB1D35">
        <w:rPr>
          <w:sz w:val="24"/>
          <w:szCs w:val="24"/>
          <w:lang w:val="en-GB"/>
        </w:rPr>
        <w:lastRenderedPageBreak/>
        <w:t>Renewable Energy and Energy Efficiency Fund has been established (JREEEF)</w:t>
      </w:r>
      <w:r w:rsidR="003B6D62">
        <w:rPr>
          <w:sz w:val="24"/>
          <w:szCs w:val="24"/>
          <w:lang w:val="en-GB"/>
        </w:rPr>
        <w:t xml:space="preserve"> according to this Law</w:t>
      </w:r>
      <w:r w:rsidRPr="00CB1D35">
        <w:rPr>
          <w:sz w:val="24"/>
          <w:szCs w:val="24"/>
          <w:lang w:val="en-GB"/>
        </w:rPr>
        <w:t xml:space="preserve">. The progress in promoting renewable energy, however, is modest. The response to the Government tendering of large scale RE projects under BOT arrangement was poor and small-scale renewable projects progress very slowly also. </w:t>
      </w:r>
    </w:p>
    <w:p w:rsidR="00CB1D35" w:rsidRPr="00CB1D35" w:rsidRDefault="00CB1D35" w:rsidP="003B6D62">
      <w:pPr>
        <w:jc w:val="both"/>
        <w:rPr>
          <w:sz w:val="24"/>
          <w:szCs w:val="24"/>
          <w:lang w:val="en-GB"/>
        </w:rPr>
      </w:pPr>
      <w:r w:rsidRPr="00BA1838">
        <w:rPr>
          <w:sz w:val="24"/>
          <w:szCs w:val="24"/>
          <w:lang w:val="en-GB"/>
        </w:rPr>
        <w:t>The main barriers to renewable electricity development is the lack</w:t>
      </w:r>
      <w:r w:rsidRPr="0073760A">
        <w:rPr>
          <w:sz w:val="24"/>
          <w:szCs w:val="24"/>
          <w:lang w:val="en-GB"/>
        </w:rPr>
        <w:t xml:space="preserve"> of long-term certainty on feed-in tariffs, the lack</w:t>
      </w:r>
      <w:r w:rsidR="003B6D62">
        <w:rPr>
          <w:sz w:val="24"/>
          <w:szCs w:val="24"/>
          <w:lang w:val="en-GB"/>
        </w:rPr>
        <w:t xml:space="preserve">/adequate </w:t>
      </w:r>
      <w:r w:rsidR="003B6D62" w:rsidRPr="0073760A">
        <w:rPr>
          <w:sz w:val="24"/>
          <w:szCs w:val="24"/>
          <w:lang w:val="en-GB"/>
        </w:rPr>
        <w:t>of</w:t>
      </w:r>
      <w:r w:rsidR="003A3D42">
        <w:rPr>
          <w:sz w:val="24"/>
          <w:szCs w:val="24"/>
          <w:lang w:val="en-GB"/>
        </w:rPr>
        <w:t xml:space="preserve"> </w:t>
      </w:r>
      <w:r w:rsidR="003B6D62">
        <w:rPr>
          <w:sz w:val="24"/>
          <w:szCs w:val="24"/>
          <w:lang w:val="en-GB"/>
        </w:rPr>
        <w:t xml:space="preserve">available </w:t>
      </w:r>
      <w:r w:rsidRPr="0073760A">
        <w:rPr>
          <w:sz w:val="24"/>
          <w:szCs w:val="24"/>
          <w:lang w:val="en-GB"/>
        </w:rPr>
        <w:t xml:space="preserve">national financing, and the </w:t>
      </w:r>
      <w:r w:rsidR="003B6D62">
        <w:rPr>
          <w:sz w:val="24"/>
          <w:szCs w:val="24"/>
          <w:lang w:val="en-GB"/>
        </w:rPr>
        <w:t>unclear</w:t>
      </w:r>
      <w:r w:rsidR="003A3D42">
        <w:rPr>
          <w:sz w:val="24"/>
          <w:szCs w:val="24"/>
          <w:lang w:val="en-GB"/>
        </w:rPr>
        <w:t xml:space="preserve"> </w:t>
      </w:r>
      <w:r w:rsidRPr="0073760A">
        <w:rPr>
          <w:sz w:val="24"/>
          <w:szCs w:val="24"/>
          <w:lang w:val="en-GB"/>
        </w:rPr>
        <w:t>institutional and legal support, including lack of enforcement for renewable energy projects. Another key area for application of renewable energy is solar water heating in the residential sector, which faces a range of barriers (high upfront costs, owner-tenant dilemma, weak enforcement of building codes, and low domestic value added).</w:t>
      </w:r>
    </w:p>
    <w:p w:rsidR="00CB1D35" w:rsidRPr="00CB1D35" w:rsidRDefault="00CB1D35" w:rsidP="00B457FE">
      <w:pPr>
        <w:jc w:val="both"/>
        <w:rPr>
          <w:sz w:val="24"/>
          <w:szCs w:val="24"/>
          <w:lang w:val="en-GB"/>
        </w:rPr>
      </w:pPr>
      <w:r w:rsidRPr="00CB1D35">
        <w:rPr>
          <w:b/>
          <w:bCs/>
          <w:sz w:val="24"/>
          <w:szCs w:val="24"/>
          <w:lang w:val="en-GB"/>
        </w:rPr>
        <w:t xml:space="preserve">On the other hand, the </w:t>
      </w:r>
      <w:r w:rsidRPr="0073760A">
        <w:rPr>
          <w:b/>
          <w:bCs/>
          <w:sz w:val="24"/>
          <w:szCs w:val="24"/>
          <w:lang w:val="en-GB"/>
        </w:rPr>
        <w:t>overall energy intensity in Jordan is higher than in most Middle</w:t>
      </w:r>
      <w:r w:rsidRPr="00CB1D35">
        <w:rPr>
          <w:b/>
          <w:bCs/>
          <w:sz w:val="24"/>
          <w:szCs w:val="24"/>
          <w:lang w:val="en-GB"/>
        </w:rPr>
        <w:t xml:space="preserve"> East and North Africa (MENA) countries</w:t>
      </w:r>
      <w:r w:rsidRPr="00CB1D35">
        <w:rPr>
          <w:sz w:val="24"/>
          <w:szCs w:val="24"/>
          <w:lang w:val="en-GB"/>
        </w:rPr>
        <w:t xml:space="preserve">, mainly as a result of relative low end-use energy efficiency. Cost-effective energy conservation opportunities exist in all major energy consuming sectors, particularly in buildings. There is therefore considerable scope for demand-side management and energy efficiency measures. </w:t>
      </w:r>
      <w:r w:rsidRPr="00CB1D35">
        <w:rPr>
          <w:b/>
          <w:bCs/>
          <w:sz w:val="24"/>
          <w:szCs w:val="24"/>
          <w:lang w:val="en-GB"/>
        </w:rPr>
        <w:t>Accordingly, a coordinated effort</w:t>
      </w:r>
      <w:r w:rsidRPr="00CB1D35">
        <w:rPr>
          <w:sz w:val="24"/>
          <w:szCs w:val="24"/>
          <w:lang w:val="en-GB"/>
        </w:rPr>
        <w:t xml:space="preserve"> to improve the energy efficiency in all consuming sectors was started by the Government of Jordan in 2004 and issued the energy efficiency strategy followed by the Master Strategy for the Energy Sector for the 2007-</w:t>
      </w:r>
      <w:r w:rsidR="00E274AA" w:rsidRPr="00CB1D35">
        <w:rPr>
          <w:sz w:val="24"/>
          <w:szCs w:val="24"/>
          <w:lang w:val="en-GB"/>
        </w:rPr>
        <w:t xml:space="preserve">2020 </w:t>
      </w:r>
      <w:r w:rsidR="00E274AA">
        <w:rPr>
          <w:sz w:val="24"/>
          <w:szCs w:val="24"/>
          <w:lang w:val="en-GB"/>
        </w:rPr>
        <w:t>period</w:t>
      </w:r>
      <w:r w:rsidRPr="00CB1D35">
        <w:rPr>
          <w:sz w:val="24"/>
          <w:szCs w:val="24"/>
          <w:lang w:val="en-GB"/>
        </w:rPr>
        <w:t xml:space="preserve"> which was updated in 2010.</w:t>
      </w:r>
    </w:p>
    <w:p w:rsidR="00CB1D35" w:rsidRPr="00CB1D35" w:rsidRDefault="00CB1D35" w:rsidP="00322010">
      <w:pPr>
        <w:jc w:val="both"/>
        <w:rPr>
          <w:sz w:val="24"/>
          <w:szCs w:val="24"/>
          <w:lang w:val="en-GB"/>
        </w:rPr>
      </w:pPr>
      <w:r w:rsidRPr="00CB1D35">
        <w:rPr>
          <w:b/>
          <w:bCs/>
          <w:sz w:val="24"/>
          <w:szCs w:val="24"/>
          <w:lang w:val="en-GB"/>
        </w:rPr>
        <w:t>The National Energy Strategy 2007‐2020 has</w:t>
      </w:r>
      <w:r w:rsidRPr="00CB1D35">
        <w:rPr>
          <w:sz w:val="24"/>
          <w:szCs w:val="24"/>
          <w:lang w:val="en-GB"/>
        </w:rPr>
        <w:t xml:space="preserve"> set the objective to improve energy efficiency by 20% by 2020. The Renewable Energy and Energy Efficiency (REEE) law calls for bylaws and political action for energy efficiency. Enabling steps for energy efficiency were defined in the Jordan Energy Efficiency Roadmap 2010 to be implemented through three-year National Energy Efficiency Action Plans. The Roadmap identifies high level policy instrument/measures, calls for a monitoring and reporting system for progress on the energy efficiency target, and establishes an institutional and legal framework. To achieve the Energy Savings potential of 20% identified in the Strategy, an Energy Efficiency Action Plan (NEEAP) was approved by the Ministry of Energy and Mineral Resources in 2012. In parallel, the government has also approved the energy efficiency by-law, establishing a framework for specific energy efficiency regulation, including auditing, appliance labelling, </w:t>
      </w:r>
      <w:r w:rsidR="008C23FA">
        <w:rPr>
          <w:sz w:val="24"/>
          <w:szCs w:val="24"/>
          <w:lang w:val="en-GB"/>
        </w:rPr>
        <w:t xml:space="preserve">and </w:t>
      </w:r>
      <w:r w:rsidRPr="00CB1D35">
        <w:rPr>
          <w:sz w:val="24"/>
          <w:szCs w:val="24"/>
          <w:lang w:val="en-GB"/>
        </w:rPr>
        <w:t>minimum energ</w:t>
      </w:r>
      <w:r w:rsidR="008C23FA">
        <w:rPr>
          <w:sz w:val="24"/>
          <w:szCs w:val="24"/>
          <w:lang w:val="en-GB"/>
        </w:rPr>
        <w:t>y performance standards (MEPS)</w:t>
      </w:r>
      <w:r w:rsidRPr="00CB1D35">
        <w:rPr>
          <w:sz w:val="24"/>
          <w:szCs w:val="24"/>
          <w:lang w:val="en-GB"/>
        </w:rPr>
        <w:t>. In this by-law, article (5.a) indicated that any consumer who consumes above 50 tons of equivalent oil (t.o.e) shall be subjected to a mandatory energy audit. Finally, the Jordan Renewable Energy and Energy Efficiency Fund (JREE</w:t>
      </w:r>
      <w:r w:rsidR="00007DAF">
        <w:rPr>
          <w:sz w:val="24"/>
          <w:szCs w:val="24"/>
          <w:lang w:val="en-GB"/>
        </w:rPr>
        <w:t>E</w:t>
      </w:r>
      <w:r w:rsidRPr="00CB1D35">
        <w:rPr>
          <w:sz w:val="24"/>
          <w:szCs w:val="24"/>
          <w:lang w:val="en-GB"/>
        </w:rPr>
        <w:t xml:space="preserve">F) was established. </w:t>
      </w:r>
    </w:p>
    <w:p w:rsidR="00CB1D35" w:rsidRPr="00CB1D35" w:rsidRDefault="00CB1D35" w:rsidP="00322010">
      <w:pPr>
        <w:jc w:val="both"/>
        <w:rPr>
          <w:sz w:val="24"/>
          <w:szCs w:val="24"/>
          <w:lang w:val="en-GB"/>
        </w:rPr>
      </w:pPr>
      <w:r w:rsidRPr="00CB1D35">
        <w:rPr>
          <w:sz w:val="24"/>
          <w:szCs w:val="24"/>
          <w:lang w:val="en-GB"/>
        </w:rPr>
        <w:lastRenderedPageBreak/>
        <w:t>In addition, solar water heaters will become mandatory for large buildings. Current building codes in Jordan include standards for energy efficiency. Programs are ongoing to promote green building codes and standards in Jordan, but few buildings so far have complied. Key barriers to energy efficiency remain, including: weak enforcement of existing measures and regulations, lack of knowledge by energy users of the benefits of energy efficiency, lack of coordination between stakeholders in developing energy efficiency projects, high initial implementation cost and high perceived risks, lack of suitable financing mechanisms, and lack of consistent institutional frameworks.  There is a lack of attention to monitoring and evaluation of the implementation of policies, incentives and regulation. The lack of dialogue between government and stakeholders decreases the effectiveness of the legislation. As a result, the established policy and regulatory framework has not yet made a significant impact. Only a small number of the identified opportunities in energy efficiency are implemented</w:t>
      </w:r>
    </w:p>
    <w:p w:rsidR="00CB1D35" w:rsidRPr="00CB1D35" w:rsidRDefault="00CB1D35" w:rsidP="00CB1D35">
      <w:pPr>
        <w:jc w:val="both"/>
        <w:rPr>
          <w:sz w:val="24"/>
          <w:szCs w:val="24"/>
          <w:lang w:val="en-GB"/>
        </w:rPr>
      </w:pPr>
      <w:r w:rsidRPr="00CB1D35">
        <w:rPr>
          <w:b/>
          <w:bCs/>
          <w:sz w:val="24"/>
          <w:szCs w:val="24"/>
          <w:lang w:val="en-GB"/>
        </w:rPr>
        <w:t>At the level of individuals,</w:t>
      </w:r>
      <w:r w:rsidRPr="00CB1D35">
        <w:rPr>
          <w:sz w:val="24"/>
          <w:szCs w:val="24"/>
          <w:lang w:val="en-GB"/>
        </w:rPr>
        <w:t xml:space="preserve"> The Jordanian Electricity Company has undertaken a new decision of allowing individuals to establish renewable sources of electricity; this will be done in collaboration with the governmental guidance to find ways to reduce electricity usage and rely more on renewable electricity sources. It has issued the renewable energy and guidance law number (13) for the year 2012, article 10 b which clarifies in details:</w:t>
      </w:r>
    </w:p>
    <w:p w:rsidR="00CB1D35" w:rsidRPr="00CB1D35" w:rsidRDefault="00CB1D35" w:rsidP="0052350A">
      <w:pPr>
        <w:numPr>
          <w:ilvl w:val="0"/>
          <w:numId w:val="1"/>
        </w:numPr>
        <w:tabs>
          <w:tab w:val="left" w:pos="360"/>
        </w:tabs>
        <w:spacing w:after="0"/>
        <w:jc w:val="both"/>
        <w:rPr>
          <w:sz w:val="24"/>
          <w:szCs w:val="24"/>
          <w:lang w:val="en-GB"/>
        </w:rPr>
      </w:pPr>
      <w:r w:rsidRPr="00CB1D35">
        <w:rPr>
          <w:sz w:val="24"/>
          <w:szCs w:val="24"/>
          <w:lang w:val="en-GB"/>
        </w:rPr>
        <w:t>Procedures of connecting renewable energy sources using special meters.</w:t>
      </w:r>
    </w:p>
    <w:p w:rsidR="00CB1D35" w:rsidRPr="00CB1D35" w:rsidRDefault="00CB1D35" w:rsidP="0052350A">
      <w:pPr>
        <w:numPr>
          <w:ilvl w:val="0"/>
          <w:numId w:val="1"/>
        </w:numPr>
        <w:tabs>
          <w:tab w:val="left" w:pos="360"/>
        </w:tabs>
        <w:spacing w:after="0"/>
        <w:jc w:val="both"/>
        <w:rPr>
          <w:sz w:val="24"/>
          <w:szCs w:val="24"/>
          <w:lang w:val="en-GB"/>
        </w:rPr>
      </w:pPr>
      <w:r w:rsidRPr="00CB1D35">
        <w:rPr>
          <w:sz w:val="24"/>
          <w:szCs w:val="24"/>
          <w:lang w:val="en-GB"/>
        </w:rPr>
        <w:t>Selection criteria for selecting small scale renewable energy systems.</w:t>
      </w:r>
    </w:p>
    <w:p w:rsidR="00CB1D35" w:rsidRPr="00CB1D35" w:rsidRDefault="00CB1D35" w:rsidP="0052350A">
      <w:pPr>
        <w:numPr>
          <w:ilvl w:val="0"/>
          <w:numId w:val="1"/>
        </w:numPr>
        <w:tabs>
          <w:tab w:val="left" w:pos="360"/>
        </w:tabs>
        <w:spacing w:after="0"/>
        <w:jc w:val="both"/>
        <w:rPr>
          <w:sz w:val="24"/>
          <w:szCs w:val="24"/>
          <w:lang w:val="en-GB"/>
        </w:rPr>
      </w:pPr>
      <w:r w:rsidRPr="00CB1D35">
        <w:rPr>
          <w:sz w:val="24"/>
          <w:szCs w:val="24"/>
          <w:lang w:val="en-GB"/>
        </w:rPr>
        <w:t xml:space="preserve">Connection procedures in case of large renewable energy systems </w:t>
      </w:r>
    </w:p>
    <w:p w:rsidR="0052350A" w:rsidRPr="0052350A" w:rsidRDefault="00CB1D35" w:rsidP="0052350A">
      <w:pPr>
        <w:numPr>
          <w:ilvl w:val="0"/>
          <w:numId w:val="1"/>
        </w:numPr>
        <w:tabs>
          <w:tab w:val="left" w:pos="360"/>
        </w:tabs>
        <w:jc w:val="both"/>
        <w:rPr>
          <w:sz w:val="24"/>
          <w:szCs w:val="24"/>
          <w:lang w:val="en-GB"/>
        </w:rPr>
      </w:pPr>
      <w:r w:rsidRPr="00CB1D35">
        <w:rPr>
          <w:sz w:val="24"/>
          <w:szCs w:val="24"/>
          <w:lang w:val="en-GB"/>
        </w:rPr>
        <w:t>Financial procedures in case of connecting renewable energy sources using special meters.</w:t>
      </w:r>
    </w:p>
    <w:p w:rsidR="00CB1D35" w:rsidRPr="00CB1D35" w:rsidRDefault="00CB1D35" w:rsidP="00CB1D35">
      <w:pPr>
        <w:jc w:val="both"/>
        <w:rPr>
          <w:b/>
          <w:bCs/>
          <w:sz w:val="24"/>
          <w:szCs w:val="24"/>
          <w:lang w:val="en-GB"/>
        </w:rPr>
      </w:pPr>
      <w:r w:rsidRPr="00CB1D35">
        <w:rPr>
          <w:b/>
          <w:bCs/>
          <w:sz w:val="24"/>
          <w:szCs w:val="24"/>
          <w:lang w:val="en-GB"/>
        </w:rPr>
        <w:t>Moreover, this strategy focused on other important aspects such as:</w:t>
      </w:r>
    </w:p>
    <w:p w:rsidR="00CB1D35" w:rsidRPr="00CB1D35" w:rsidRDefault="00CB1D35" w:rsidP="0052350A">
      <w:pPr>
        <w:numPr>
          <w:ilvl w:val="0"/>
          <w:numId w:val="1"/>
        </w:numPr>
        <w:tabs>
          <w:tab w:val="left" w:pos="180"/>
        </w:tabs>
        <w:spacing w:after="0"/>
        <w:jc w:val="both"/>
        <w:rPr>
          <w:sz w:val="24"/>
          <w:szCs w:val="24"/>
          <w:lang w:val="en-GB"/>
        </w:rPr>
      </w:pPr>
      <w:r w:rsidRPr="00CB1D35">
        <w:rPr>
          <w:bCs/>
          <w:sz w:val="24"/>
          <w:szCs w:val="24"/>
          <w:lang w:val="en-GB"/>
        </w:rPr>
        <w:t>To</w:t>
      </w:r>
      <w:r w:rsidRPr="00CB1D35">
        <w:rPr>
          <w:sz w:val="24"/>
          <w:szCs w:val="24"/>
          <w:lang w:val="en-GB"/>
        </w:rPr>
        <w:t>integrate climate change aspects with emphasis on provisions of this Policy into different grade levels of schools and other relevant components of academic framework;</w:t>
      </w:r>
    </w:p>
    <w:p w:rsidR="00CB1D35" w:rsidRPr="00CB1D35" w:rsidRDefault="00CB1D35" w:rsidP="0052350A">
      <w:pPr>
        <w:numPr>
          <w:ilvl w:val="0"/>
          <w:numId w:val="1"/>
        </w:numPr>
        <w:tabs>
          <w:tab w:val="left" w:pos="180"/>
          <w:tab w:val="left" w:pos="360"/>
        </w:tabs>
        <w:spacing w:after="0"/>
        <w:jc w:val="both"/>
        <w:rPr>
          <w:sz w:val="24"/>
          <w:szCs w:val="24"/>
          <w:lang w:val="en-GB"/>
        </w:rPr>
      </w:pPr>
      <w:r w:rsidRPr="00CB1D35">
        <w:rPr>
          <w:sz w:val="24"/>
          <w:szCs w:val="24"/>
          <w:lang w:val="en-GB"/>
        </w:rPr>
        <w:t>To support initiatives aiming at improving climate change related education especially those lead by NGOs and the private sector by facilitating all efforts to securing the required financing and providing technical information available</w:t>
      </w:r>
    </w:p>
    <w:p w:rsidR="00CB1D35" w:rsidRPr="00CB1D35" w:rsidRDefault="00CB1D35" w:rsidP="0052350A">
      <w:pPr>
        <w:numPr>
          <w:ilvl w:val="0"/>
          <w:numId w:val="1"/>
        </w:numPr>
        <w:tabs>
          <w:tab w:val="left" w:pos="180"/>
        </w:tabs>
        <w:jc w:val="both"/>
        <w:rPr>
          <w:sz w:val="24"/>
          <w:szCs w:val="24"/>
          <w:lang w:val="en-GB"/>
        </w:rPr>
      </w:pPr>
      <w:r w:rsidRPr="00CB1D35">
        <w:rPr>
          <w:sz w:val="24"/>
          <w:szCs w:val="24"/>
          <w:lang w:val="en-GB"/>
        </w:rPr>
        <w:t>Using Media to in raising awareness on climate change amongst different population segments which can increase support and cooperation in implementing climate change mitigation and adaptation policies.</w:t>
      </w:r>
    </w:p>
    <w:p w:rsidR="00CB1D35" w:rsidRPr="0052350A" w:rsidRDefault="00D030B7" w:rsidP="00D030B7">
      <w:pPr>
        <w:pStyle w:val="ListParagraph"/>
        <w:numPr>
          <w:ilvl w:val="0"/>
          <w:numId w:val="6"/>
        </w:numPr>
        <w:jc w:val="both"/>
        <w:outlineLvl w:val="0"/>
        <w:rPr>
          <w:rFonts w:eastAsiaTheme="majorEastAsia" w:cs="Arial"/>
          <w:b/>
          <w:bCs/>
          <w:color w:val="808080" w:themeColor="background1" w:themeShade="80"/>
          <w:sz w:val="32"/>
          <w:szCs w:val="32"/>
        </w:rPr>
      </w:pPr>
      <w:bookmarkStart w:id="2" w:name="_Toc435736006"/>
      <w:r w:rsidRPr="0052350A">
        <w:rPr>
          <w:rFonts w:eastAsiaTheme="majorEastAsia" w:cs="Arial"/>
          <w:b/>
          <w:bCs/>
          <w:color w:val="808080" w:themeColor="background1" w:themeShade="80"/>
          <w:sz w:val="32"/>
          <w:szCs w:val="32"/>
        </w:rPr>
        <w:lastRenderedPageBreak/>
        <w:t xml:space="preserve">Sahab City and its </w:t>
      </w:r>
      <w:r w:rsidR="00C70AAE" w:rsidRPr="0052350A">
        <w:rPr>
          <w:rFonts w:eastAsiaTheme="majorEastAsia" w:cs="Arial"/>
          <w:b/>
          <w:bCs/>
          <w:color w:val="808080" w:themeColor="background1" w:themeShade="80"/>
          <w:sz w:val="32"/>
          <w:szCs w:val="32"/>
        </w:rPr>
        <w:t>situation</w:t>
      </w:r>
      <w:bookmarkEnd w:id="2"/>
    </w:p>
    <w:p w:rsidR="00D030B7" w:rsidRPr="0052350A" w:rsidRDefault="00D030B7" w:rsidP="00D030B7">
      <w:pPr>
        <w:pStyle w:val="ListParagraph"/>
        <w:numPr>
          <w:ilvl w:val="1"/>
          <w:numId w:val="6"/>
        </w:numPr>
        <w:jc w:val="both"/>
        <w:outlineLvl w:val="0"/>
        <w:rPr>
          <w:rFonts w:eastAsiaTheme="majorEastAsia" w:cs="Arial"/>
          <w:b/>
          <w:bCs/>
          <w:color w:val="808080" w:themeColor="background1" w:themeShade="80"/>
          <w:sz w:val="28"/>
          <w:szCs w:val="28"/>
        </w:rPr>
      </w:pPr>
      <w:bookmarkStart w:id="3" w:name="_Toc435736007"/>
      <w:r w:rsidRPr="0052350A">
        <w:rPr>
          <w:rFonts w:eastAsiaTheme="majorEastAsia" w:cs="Arial"/>
          <w:b/>
          <w:bCs/>
          <w:color w:val="808080" w:themeColor="background1" w:themeShade="80"/>
          <w:sz w:val="28"/>
          <w:szCs w:val="28"/>
        </w:rPr>
        <w:t>About Sahab city</w:t>
      </w:r>
      <w:bookmarkEnd w:id="3"/>
    </w:p>
    <w:p w:rsidR="00D030B7" w:rsidRPr="00D030B7" w:rsidRDefault="00D030B7" w:rsidP="00D030B7">
      <w:pPr>
        <w:jc w:val="both"/>
        <w:rPr>
          <w:rFonts w:cstheme="minorHAnsi"/>
          <w:sz w:val="24"/>
          <w:szCs w:val="24"/>
        </w:rPr>
      </w:pPr>
      <w:r w:rsidRPr="00D030B7">
        <w:rPr>
          <w:rFonts w:cstheme="minorHAnsi"/>
          <w:sz w:val="24"/>
          <w:szCs w:val="24"/>
        </w:rPr>
        <w:t>Sahab city is one of the poorest communities in Jordan with percentage of poverty that could reach to 54%. Its total area is 12 Km² where (150,000) Jordanian Citizens are living within this limited area in addition to another (40,000) Syrians fled their country and ended up in Sahab. It has the largest two industrial Zones in the kingdom; King Abdullah II Industrial Estate which includes (400) factory, and Industrial estate city which includes (50) factory, where almost (30,000) Jordanian and other nationalities work in these factori</w:t>
      </w:r>
      <w:r w:rsidR="00A56323">
        <w:rPr>
          <w:rFonts w:cstheme="minorHAnsi"/>
          <w:sz w:val="24"/>
          <w:szCs w:val="24"/>
        </w:rPr>
        <w:t xml:space="preserve">es. </w:t>
      </w:r>
      <w:r w:rsidRPr="00D030B7">
        <w:rPr>
          <w:rFonts w:cstheme="minorHAnsi"/>
          <w:sz w:val="24"/>
          <w:szCs w:val="24"/>
        </w:rPr>
        <w:t xml:space="preserve">Sahab is located at a strategic industrial and commercial location. It is considered as a commercial gathering location for all surrounding cities and villages. Additionally, it has an international Street connecting the capital with Aqaba in the south and Saudi Arabia and Iraq in the East. </w:t>
      </w:r>
    </w:p>
    <w:p w:rsidR="00D030B7" w:rsidRPr="00D030B7" w:rsidRDefault="00D030B7" w:rsidP="006F3BD3">
      <w:pPr>
        <w:jc w:val="both"/>
        <w:rPr>
          <w:rFonts w:cstheme="minorHAnsi"/>
          <w:sz w:val="24"/>
          <w:szCs w:val="24"/>
        </w:rPr>
      </w:pPr>
      <w:r w:rsidRPr="00D030B7">
        <w:rPr>
          <w:rFonts w:cstheme="minorHAnsi"/>
          <w:sz w:val="24"/>
          <w:szCs w:val="24"/>
        </w:rPr>
        <w:t>Sahab Municipality was established in 1963. It joined Greater Amman Municipality (GAM) on December, 2006. In 2011, Sahab Municipality became independent on both financial and managerial levels and a municipal council was elected on 2013. An agreem</w:t>
      </w:r>
      <w:r w:rsidR="00E866BC">
        <w:rPr>
          <w:rFonts w:cstheme="minorHAnsi"/>
          <w:sz w:val="24"/>
          <w:szCs w:val="24"/>
        </w:rPr>
        <w:t>ent between (GAM) and Ministry Of Municipalities A</w:t>
      </w:r>
      <w:r w:rsidRPr="00D030B7">
        <w:rPr>
          <w:rFonts w:cstheme="minorHAnsi"/>
          <w:sz w:val="24"/>
          <w:szCs w:val="24"/>
        </w:rPr>
        <w:t>ffairs was signed committing GAM to provide Sahab municipality with all needed services and financial support until the end of 2013, but unfortunately GAM did not fulfill this commitment which put Sahab Municipality in a very difficult situation as it lacks to the sufficient financial and Human resources support.</w:t>
      </w:r>
    </w:p>
    <w:p w:rsidR="00C70AAE" w:rsidRPr="00C70AAE" w:rsidRDefault="00C70AAE" w:rsidP="007040DE">
      <w:pPr>
        <w:pStyle w:val="ListParagraph"/>
        <w:numPr>
          <w:ilvl w:val="1"/>
          <w:numId w:val="6"/>
        </w:numPr>
        <w:jc w:val="both"/>
        <w:outlineLvl w:val="1"/>
        <w:rPr>
          <w:rFonts w:eastAsiaTheme="majorEastAsia" w:cs="Arial"/>
          <w:b/>
          <w:bCs/>
          <w:color w:val="808080" w:themeColor="background1" w:themeShade="80"/>
          <w:sz w:val="28"/>
          <w:szCs w:val="28"/>
        </w:rPr>
      </w:pPr>
      <w:bookmarkStart w:id="4" w:name="_Toc435736008"/>
      <w:r w:rsidRPr="00C70AAE">
        <w:rPr>
          <w:rFonts w:eastAsiaTheme="majorEastAsia" w:cs="Arial"/>
          <w:b/>
          <w:bCs/>
          <w:color w:val="808080" w:themeColor="background1" w:themeShade="80"/>
          <w:sz w:val="28"/>
          <w:szCs w:val="28"/>
        </w:rPr>
        <w:t>Current Energy situation</w:t>
      </w:r>
      <w:bookmarkEnd w:id="4"/>
    </w:p>
    <w:p w:rsidR="00D030B7" w:rsidRPr="00D030B7" w:rsidRDefault="00D030B7" w:rsidP="00D030B7">
      <w:pPr>
        <w:jc w:val="both"/>
        <w:rPr>
          <w:sz w:val="24"/>
          <w:szCs w:val="24"/>
          <w:lang w:val="en-GB"/>
        </w:rPr>
      </w:pPr>
      <w:r w:rsidRPr="00D030B7">
        <w:rPr>
          <w:sz w:val="24"/>
          <w:szCs w:val="24"/>
          <w:lang w:val="en-GB"/>
        </w:rPr>
        <w:t>Sahab city is facing different challenges</w:t>
      </w:r>
      <w:r w:rsidR="0036265E">
        <w:rPr>
          <w:sz w:val="24"/>
          <w:szCs w:val="24"/>
          <w:lang w:val="en-GB"/>
        </w:rPr>
        <w:t xml:space="preserve"> in energy and environment</w:t>
      </w:r>
      <w:r w:rsidRPr="00D030B7">
        <w:rPr>
          <w:sz w:val="24"/>
          <w:szCs w:val="24"/>
          <w:lang w:val="en-GB"/>
        </w:rPr>
        <w:t xml:space="preserve"> such as: </w:t>
      </w:r>
    </w:p>
    <w:p w:rsidR="00D030B7" w:rsidRPr="00D030B7" w:rsidRDefault="00D030B7" w:rsidP="00D030B7">
      <w:pPr>
        <w:numPr>
          <w:ilvl w:val="0"/>
          <w:numId w:val="10"/>
        </w:numPr>
        <w:jc w:val="both"/>
        <w:rPr>
          <w:sz w:val="24"/>
          <w:szCs w:val="24"/>
        </w:rPr>
      </w:pPr>
      <w:r w:rsidRPr="00D030B7">
        <w:rPr>
          <w:sz w:val="24"/>
          <w:szCs w:val="24"/>
        </w:rPr>
        <w:t xml:space="preserve">High debts which create a challenge for implementing any development projects for the city. </w:t>
      </w:r>
    </w:p>
    <w:p w:rsidR="00D030B7" w:rsidRPr="00D030B7" w:rsidRDefault="00D030B7" w:rsidP="00D030B7">
      <w:pPr>
        <w:numPr>
          <w:ilvl w:val="0"/>
          <w:numId w:val="10"/>
        </w:numPr>
        <w:jc w:val="both"/>
        <w:rPr>
          <w:sz w:val="24"/>
          <w:szCs w:val="24"/>
        </w:rPr>
      </w:pPr>
      <w:r w:rsidRPr="00D030B7">
        <w:rPr>
          <w:sz w:val="24"/>
          <w:szCs w:val="24"/>
        </w:rPr>
        <w:t>Lack of financial and technical resources to enable Sahab Municipality to implement sustainable development projects in the energy sector whether in energy efficiency or renewable energy fields to reduce energy consumption and financial burdens.</w:t>
      </w:r>
    </w:p>
    <w:p w:rsidR="00D030B7" w:rsidRPr="00D030B7" w:rsidRDefault="00D030B7" w:rsidP="00643A41">
      <w:pPr>
        <w:numPr>
          <w:ilvl w:val="0"/>
          <w:numId w:val="10"/>
        </w:numPr>
        <w:jc w:val="both"/>
        <w:rPr>
          <w:sz w:val="24"/>
          <w:szCs w:val="24"/>
        </w:rPr>
      </w:pPr>
      <w:r w:rsidRPr="00D030B7">
        <w:rPr>
          <w:sz w:val="24"/>
          <w:szCs w:val="24"/>
        </w:rPr>
        <w:t xml:space="preserve">At the level of Environment: the city witnessed several violations in construction works and relevant consequences as GAM failed to comply with its responsibilities toward Sahab. Additionally, there are factories for Breaks, cutting stones, chemicals and many others which polluted the air and caused several diseases for the citizens, where Sahab is </w:t>
      </w:r>
      <w:r w:rsidRPr="00D030B7">
        <w:rPr>
          <w:sz w:val="24"/>
          <w:szCs w:val="24"/>
        </w:rPr>
        <w:lastRenderedPageBreak/>
        <w:t xml:space="preserve">considered now as </w:t>
      </w:r>
      <w:r w:rsidR="00AB0248">
        <w:rPr>
          <w:sz w:val="24"/>
          <w:szCs w:val="24"/>
        </w:rPr>
        <w:t xml:space="preserve">one of </w:t>
      </w:r>
      <w:r w:rsidRPr="00D030B7">
        <w:rPr>
          <w:sz w:val="24"/>
          <w:szCs w:val="24"/>
        </w:rPr>
        <w:t>the most polluted cit</w:t>
      </w:r>
      <w:r w:rsidR="00AB0248">
        <w:rPr>
          <w:sz w:val="24"/>
          <w:szCs w:val="24"/>
        </w:rPr>
        <w:t>ies</w:t>
      </w:r>
      <w:r w:rsidRPr="00D030B7">
        <w:rPr>
          <w:sz w:val="24"/>
          <w:szCs w:val="24"/>
        </w:rPr>
        <w:t xml:space="preserve"> in Jordan with largest number of Cancer patients</w:t>
      </w:r>
      <w:r w:rsidR="008C23FA">
        <w:rPr>
          <w:sz w:val="24"/>
          <w:szCs w:val="24"/>
        </w:rPr>
        <w:t xml:space="preserve"> according </w:t>
      </w:r>
      <w:r w:rsidR="00643A41">
        <w:rPr>
          <w:sz w:val="24"/>
          <w:szCs w:val="24"/>
        </w:rPr>
        <w:t>ministry of Environment statements</w:t>
      </w:r>
      <w:r w:rsidRPr="00D030B7">
        <w:rPr>
          <w:sz w:val="24"/>
          <w:szCs w:val="24"/>
        </w:rPr>
        <w:t xml:space="preserve">. </w:t>
      </w:r>
    </w:p>
    <w:p w:rsidR="0036265E" w:rsidRDefault="00D030B7" w:rsidP="0036265E">
      <w:pPr>
        <w:numPr>
          <w:ilvl w:val="0"/>
          <w:numId w:val="10"/>
        </w:numPr>
        <w:jc w:val="both"/>
        <w:rPr>
          <w:sz w:val="24"/>
          <w:szCs w:val="24"/>
        </w:rPr>
      </w:pPr>
      <w:r w:rsidRPr="003426C8">
        <w:rPr>
          <w:sz w:val="24"/>
          <w:szCs w:val="24"/>
        </w:rPr>
        <w:t xml:space="preserve">In terms of lighting: the city lacks to enough lighting units in its streets which make the city live in darkness and danger.  </w:t>
      </w:r>
    </w:p>
    <w:p w:rsidR="006F3BD3" w:rsidRPr="0040015E" w:rsidRDefault="003426C8" w:rsidP="00AB0248">
      <w:pPr>
        <w:jc w:val="both"/>
        <w:rPr>
          <w:sz w:val="24"/>
          <w:szCs w:val="24"/>
        </w:rPr>
      </w:pPr>
      <w:r>
        <w:rPr>
          <w:sz w:val="24"/>
          <w:szCs w:val="24"/>
        </w:rPr>
        <w:t>On the other</w:t>
      </w:r>
      <w:r w:rsidR="00C35347">
        <w:rPr>
          <w:sz w:val="24"/>
          <w:szCs w:val="24"/>
        </w:rPr>
        <w:t xml:space="preserve"> hand, Sahab Municipality began</w:t>
      </w:r>
      <w:r>
        <w:rPr>
          <w:sz w:val="24"/>
          <w:szCs w:val="24"/>
        </w:rPr>
        <w:t xml:space="preserve"> moving towards the clean energy sources that reduces the CO</w:t>
      </w:r>
      <w:r w:rsidRPr="00224B03">
        <w:rPr>
          <w:sz w:val="24"/>
          <w:szCs w:val="24"/>
          <w:vertAlign w:val="subscript"/>
        </w:rPr>
        <w:t>2</w:t>
      </w:r>
      <w:r>
        <w:rPr>
          <w:sz w:val="24"/>
          <w:szCs w:val="24"/>
        </w:rPr>
        <w:t xml:space="preserve"> emissions and the bill of the electricity demand. Currently, the municipality is included in a renewable energy and energy efficiency project (SUDEP) for some public buildings in sahab,</w:t>
      </w:r>
      <w:r w:rsidR="00224B03">
        <w:rPr>
          <w:sz w:val="24"/>
          <w:szCs w:val="24"/>
        </w:rPr>
        <w:t xml:space="preserve"> which is funded by EU</w:t>
      </w:r>
      <w:r w:rsidR="008042B8">
        <w:rPr>
          <w:sz w:val="24"/>
          <w:szCs w:val="24"/>
        </w:rPr>
        <w:t xml:space="preserve">. The implementation of the RE and EE measures will start at </w:t>
      </w:r>
      <w:r w:rsidR="008042B8" w:rsidRPr="008042B8">
        <w:rPr>
          <w:sz w:val="24"/>
          <w:szCs w:val="24"/>
        </w:rPr>
        <w:t xml:space="preserve">the beginning of </w:t>
      </w:r>
      <w:r w:rsidR="008042B8">
        <w:rPr>
          <w:sz w:val="24"/>
          <w:szCs w:val="24"/>
        </w:rPr>
        <w:t xml:space="preserve">the </w:t>
      </w:r>
      <w:r w:rsidR="008042B8" w:rsidRPr="008042B8">
        <w:rPr>
          <w:sz w:val="24"/>
          <w:szCs w:val="24"/>
        </w:rPr>
        <w:t>next year</w:t>
      </w:r>
      <w:r w:rsidR="00224B03">
        <w:rPr>
          <w:sz w:val="24"/>
          <w:szCs w:val="24"/>
        </w:rPr>
        <w:t xml:space="preserve">.Thisproject </w:t>
      </w:r>
      <w:r>
        <w:rPr>
          <w:sz w:val="24"/>
          <w:szCs w:val="24"/>
        </w:rPr>
        <w:t xml:space="preserve">will give a good </w:t>
      </w:r>
      <w:r w:rsidR="00224B03" w:rsidRPr="00224B03">
        <w:rPr>
          <w:sz w:val="24"/>
          <w:szCs w:val="24"/>
        </w:rPr>
        <w:t>encouragement</w:t>
      </w:r>
      <w:r w:rsidR="00224B03">
        <w:rPr>
          <w:sz w:val="24"/>
          <w:szCs w:val="24"/>
        </w:rPr>
        <w:t xml:space="preserve"> to continue with remaining buildings and facilities in sahab through the next years.</w:t>
      </w:r>
    </w:p>
    <w:p w:rsidR="004A66AA" w:rsidRDefault="00587EE5" w:rsidP="00BA37F3">
      <w:pPr>
        <w:pStyle w:val="ListParagraph"/>
        <w:numPr>
          <w:ilvl w:val="0"/>
          <w:numId w:val="6"/>
        </w:numPr>
        <w:spacing w:after="0"/>
        <w:jc w:val="both"/>
        <w:outlineLvl w:val="0"/>
        <w:rPr>
          <w:rFonts w:eastAsiaTheme="majorEastAsia" w:cs="Arial"/>
          <w:b/>
          <w:bCs/>
          <w:color w:val="808080" w:themeColor="background1" w:themeShade="80"/>
          <w:sz w:val="32"/>
          <w:szCs w:val="32"/>
        </w:rPr>
      </w:pPr>
      <w:bookmarkStart w:id="5" w:name="_Toc435736009"/>
      <w:r>
        <w:rPr>
          <w:rFonts w:eastAsiaTheme="majorEastAsia" w:cs="Arial"/>
          <w:b/>
          <w:bCs/>
          <w:color w:val="808080" w:themeColor="background1" w:themeShade="80"/>
          <w:sz w:val="32"/>
          <w:szCs w:val="32"/>
        </w:rPr>
        <w:t xml:space="preserve">EE &amp; RE </w:t>
      </w:r>
      <w:r w:rsidR="00C02A55">
        <w:rPr>
          <w:rFonts w:eastAsiaTheme="majorEastAsia" w:cs="Arial"/>
          <w:b/>
          <w:bCs/>
          <w:color w:val="808080" w:themeColor="background1" w:themeShade="80"/>
          <w:sz w:val="32"/>
          <w:szCs w:val="32"/>
        </w:rPr>
        <w:t>strategy</w:t>
      </w:r>
      <w:bookmarkEnd w:id="5"/>
    </w:p>
    <w:p w:rsidR="00BA37F3" w:rsidRPr="00BA37F3" w:rsidRDefault="00BA37F3" w:rsidP="00BA37F3">
      <w:pPr>
        <w:pStyle w:val="ListParagraph"/>
        <w:spacing w:after="0" w:line="240" w:lineRule="auto"/>
        <w:ind w:left="360"/>
        <w:jc w:val="both"/>
        <w:outlineLvl w:val="0"/>
        <w:rPr>
          <w:rFonts w:eastAsiaTheme="majorEastAsia" w:cs="Arial"/>
          <w:b/>
          <w:bCs/>
          <w:color w:val="808080" w:themeColor="background1" w:themeShade="80"/>
          <w:sz w:val="12"/>
          <w:szCs w:val="12"/>
        </w:rPr>
      </w:pPr>
    </w:p>
    <w:p w:rsidR="008A12A4" w:rsidRPr="00BA37F3" w:rsidRDefault="004A66AA" w:rsidP="00BA37F3">
      <w:pPr>
        <w:pStyle w:val="ListParagraph"/>
        <w:numPr>
          <w:ilvl w:val="1"/>
          <w:numId w:val="6"/>
        </w:numPr>
        <w:spacing w:after="0"/>
        <w:outlineLvl w:val="1"/>
        <w:rPr>
          <w:rFonts w:eastAsiaTheme="majorEastAsia" w:cs="Arial"/>
          <w:b/>
          <w:bCs/>
          <w:color w:val="808080" w:themeColor="background1" w:themeShade="80"/>
          <w:sz w:val="24"/>
          <w:szCs w:val="24"/>
        </w:rPr>
      </w:pPr>
      <w:bookmarkStart w:id="6" w:name="_Toc435736010"/>
      <w:r w:rsidRPr="00587EE5">
        <w:rPr>
          <w:rFonts w:eastAsiaTheme="majorEastAsia" w:cs="Arial"/>
          <w:b/>
          <w:bCs/>
          <w:color w:val="808080" w:themeColor="background1" w:themeShade="80"/>
          <w:sz w:val="28"/>
          <w:szCs w:val="28"/>
        </w:rPr>
        <w:t xml:space="preserve">Energy Consumption Baseline for last </w:t>
      </w:r>
      <w:r w:rsidR="00880E80" w:rsidRPr="00587EE5">
        <w:rPr>
          <w:rFonts w:eastAsiaTheme="majorEastAsia" w:cs="Arial"/>
          <w:b/>
          <w:bCs/>
          <w:color w:val="808080" w:themeColor="background1" w:themeShade="80"/>
          <w:sz w:val="28"/>
          <w:szCs w:val="28"/>
        </w:rPr>
        <w:t>2</w:t>
      </w:r>
      <w:r w:rsidR="007040DE" w:rsidRPr="00587EE5">
        <w:rPr>
          <w:rFonts w:eastAsiaTheme="majorEastAsia" w:cs="Arial"/>
          <w:b/>
          <w:bCs/>
          <w:color w:val="808080" w:themeColor="background1" w:themeShade="80"/>
          <w:sz w:val="28"/>
          <w:szCs w:val="28"/>
        </w:rPr>
        <w:t xml:space="preserve"> years</w:t>
      </w:r>
      <w:bookmarkEnd w:id="6"/>
    </w:p>
    <w:p w:rsidR="00BA37F3" w:rsidRPr="00BA37F3" w:rsidRDefault="00BA37F3" w:rsidP="00BA37F3">
      <w:pPr>
        <w:pStyle w:val="ListParagraph"/>
        <w:ind w:left="360"/>
        <w:outlineLvl w:val="1"/>
        <w:rPr>
          <w:rFonts w:eastAsiaTheme="majorEastAsia" w:cs="Arial"/>
          <w:b/>
          <w:bCs/>
          <w:color w:val="808080" w:themeColor="background1" w:themeShade="80"/>
          <w:sz w:val="12"/>
          <w:szCs w:val="12"/>
        </w:rPr>
      </w:pPr>
    </w:p>
    <w:p w:rsidR="00587EE5" w:rsidRDefault="00587EE5" w:rsidP="002075B2">
      <w:pPr>
        <w:pStyle w:val="ListParagraph"/>
        <w:spacing w:after="0"/>
        <w:ind w:left="360"/>
        <w:jc w:val="both"/>
        <w:rPr>
          <w:sz w:val="24"/>
          <w:szCs w:val="24"/>
        </w:rPr>
      </w:pPr>
      <w:r w:rsidRPr="00587EE5">
        <w:rPr>
          <w:sz w:val="24"/>
          <w:szCs w:val="24"/>
        </w:rPr>
        <w:t xml:space="preserve">The overall annual electrical energy consumption for </w:t>
      </w:r>
      <w:r w:rsidR="0044544E">
        <w:rPr>
          <w:sz w:val="24"/>
          <w:szCs w:val="24"/>
        </w:rPr>
        <w:t>Sahab City and its distribution</w:t>
      </w:r>
      <w:r>
        <w:rPr>
          <w:sz w:val="24"/>
          <w:szCs w:val="24"/>
        </w:rPr>
        <w:t xml:space="preserve">for the last 2 years </w:t>
      </w:r>
      <w:r w:rsidR="0044544E">
        <w:rPr>
          <w:sz w:val="24"/>
          <w:szCs w:val="24"/>
        </w:rPr>
        <w:t xml:space="preserve">(2013 &amp; 2014) </w:t>
      </w:r>
      <w:r w:rsidR="00007DAF">
        <w:rPr>
          <w:sz w:val="24"/>
          <w:szCs w:val="24"/>
        </w:rPr>
        <w:t>are shown in the figures 1</w:t>
      </w:r>
      <w:r w:rsidR="00BA37F3">
        <w:rPr>
          <w:sz w:val="24"/>
          <w:szCs w:val="24"/>
        </w:rPr>
        <w:t xml:space="preserve"> and 2, which show</w:t>
      </w:r>
      <w:r w:rsidR="0036265E">
        <w:rPr>
          <w:sz w:val="24"/>
          <w:szCs w:val="24"/>
        </w:rPr>
        <w:t xml:space="preserve"> th</w:t>
      </w:r>
      <w:r w:rsidR="00BA37F3">
        <w:rPr>
          <w:sz w:val="24"/>
          <w:szCs w:val="24"/>
        </w:rPr>
        <w:t>at the overall</w:t>
      </w:r>
      <w:r w:rsidR="0036265E">
        <w:rPr>
          <w:sz w:val="24"/>
          <w:szCs w:val="24"/>
        </w:rPr>
        <w:t xml:space="preserve"> annual energy consumption reaches</w:t>
      </w:r>
      <w:r w:rsidR="008042B8">
        <w:rPr>
          <w:sz w:val="24"/>
          <w:szCs w:val="24"/>
        </w:rPr>
        <w:t xml:space="preserve">to </w:t>
      </w:r>
      <w:r w:rsidR="00F4262B">
        <w:rPr>
          <w:sz w:val="24"/>
          <w:szCs w:val="24"/>
        </w:rPr>
        <w:t>38</w:t>
      </w:r>
      <w:r w:rsidR="008042B8">
        <w:rPr>
          <w:sz w:val="24"/>
          <w:szCs w:val="24"/>
        </w:rPr>
        <w:t>GWh.</w:t>
      </w:r>
      <w:r w:rsidR="00BA37F3">
        <w:rPr>
          <w:sz w:val="24"/>
          <w:szCs w:val="24"/>
        </w:rPr>
        <w:t xml:space="preserve"> wh</w:t>
      </w:r>
      <w:r w:rsidR="00C35347">
        <w:rPr>
          <w:sz w:val="24"/>
          <w:szCs w:val="24"/>
        </w:rPr>
        <w:t>ere</w:t>
      </w:r>
      <w:r w:rsidR="00BA37F3">
        <w:rPr>
          <w:sz w:val="24"/>
          <w:szCs w:val="24"/>
        </w:rPr>
        <w:t xml:space="preserve"> the main </w:t>
      </w:r>
      <w:r w:rsidR="00C35347">
        <w:rPr>
          <w:sz w:val="24"/>
          <w:szCs w:val="24"/>
        </w:rPr>
        <w:t>energy consuming in the city</w:t>
      </w:r>
      <w:r w:rsidR="008042B8">
        <w:rPr>
          <w:sz w:val="24"/>
          <w:szCs w:val="24"/>
        </w:rPr>
        <w:t xml:space="preserve">goes to </w:t>
      </w:r>
      <w:r w:rsidR="00BA37F3">
        <w:rPr>
          <w:sz w:val="24"/>
          <w:szCs w:val="24"/>
        </w:rPr>
        <w:t xml:space="preserve">the </w:t>
      </w:r>
      <w:r w:rsidR="002075B2">
        <w:rPr>
          <w:sz w:val="24"/>
          <w:szCs w:val="24"/>
        </w:rPr>
        <w:t>residential</w:t>
      </w:r>
      <w:r w:rsidR="00F4262B">
        <w:rPr>
          <w:sz w:val="24"/>
          <w:szCs w:val="24"/>
        </w:rPr>
        <w:t xml:space="preserve">and </w:t>
      </w:r>
      <w:r w:rsidR="00BA37F3">
        <w:rPr>
          <w:sz w:val="24"/>
          <w:szCs w:val="24"/>
        </w:rPr>
        <w:t>commercial sector</w:t>
      </w:r>
      <w:r w:rsidR="00F4262B">
        <w:rPr>
          <w:sz w:val="24"/>
          <w:szCs w:val="24"/>
        </w:rPr>
        <w:t>s with annual energy consumption of 26.3 GWh and 8.2 GWh, respectively.</w:t>
      </w:r>
    </w:p>
    <w:p w:rsidR="00845FC8" w:rsidRPr="00587EE5" w:rsidRDefault="00845FC8" w:rsidP="00587EE5">
      <w:pPr>
        <w:pStyle w:val="ListParagraph"/>
        <w:spacing w:after="0"/>
        <w:ind w:left="360"/>
        <w:rPr>
          <w:sz w:val="24"/>
          <w:szCs w:val="24"/>
        </w:rPr>
      </w:pPr>
    </w:p>
    <w:p w:rsidR="00587EE5" w:rsidRPr="00587EE5" w:rsidRDefault="00734B62" w:rsidP="00C90B16">
      <w:pPr>
        <w:pStyle w:val="ListParagraph"/>
        <w:spacing w:after="0"/>
        <w:ind w:left="0"/>
        <w:jc w:val="center"/>
        <w:rPr>
          <w:sz w:val="24"/>
          <w:szCs w:val="24"/>
        </w:rPr>
      </w:pPr>
      <w:r>
        <w:rPr>
          <w:noProof/>
          <w:sz w:val="24"/>
          <w:szCs w:val="24"/>
        </w:rPr>
        <w:lastRenderedPageBreak/>
        <w:drawing>
          <wp:inline distT="0" distB="0" distL="0" distR="0">
            <wp:extent cx="4708226" cy="3026788"/>
            <wp:effectExtent l="19050" t="0" r="0" b="0"/>
            <wp:docPr id="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4708226" cy="3026788"/>
                    </a:xfrm>
                    <a:prstGeom prst="rect">
                      <a:avLst/>
                    </a:prstGeom>
                    <a:noFill/>
                  </pic:spPr>
                </pic:pic>
              </a:graphicData>
            </a:graphic>
          </wp:inline>
        </w:drawing>
      </w:r>
    </w:p>
    <w:p w:rsidR="00587EE5" w:rsidRDefault="00587EE5" w:rsidP="00C90B16">
      <w:pPr>
        <w:pStyle w:val="ListParagraph"/>
        <w:spacing w:after="0"/>
        <w:ind w:left="360"/>
        <w:jc w:val="center"/>
      </w:pPr>
      <w:r w:rsidRPr="00C462B7">
        <w:t xml:space="preserve">Figure 1: Annual Energy consumption for </w:t>
      </w:r>
      <w:r w:rsidR="00C90B16">
        <w:t>Sahab City for 2013 &amp; 2014</w:t>
      </w:r>
    </w:p>
    <w:p w:rsidR="00845FC8" w:rsidRDefault="00845FC8" w:rsidP="00587EE5">
      <w:pPr>
        <w:pStyle w:val="ListParagraph"/>
        <w:spacing w:after="0"/>
        <w:ind w:left="360"/>
        <w:jc w:val="center"/>
      </w:pPr>
    </w:p>
    <w:p w:rsidR="00C90B16" w:rsidRDefault="00C90B16" w:rsidP="00587EE5">
      <w:pPr>
        <w:pStyle w:val="ListParagraph"/>
        <w:spacing w:after="0"/>
        <w:ind w:left="360"/>
        <w:jc w:val="center"/>
      </w:pPr>
    </w:p>
    <w:p w:rsidR="00C90B16" w:rsidRDefault="00734B62" w:rsidP="00C90B16">
      <w:pPr>
        <w:pStyle w:val="ListParagraph"/>
        <w:spacing w:after="0"/>
        <w:ind w:left="0"/>
        <w:jc w:val="center"/>
      </w:pPr>
      <w:r>
        <w:rPr>
          <w:noProof/>
        </w:rPr>
        <w:drawing>
          <wp:inline distT="0" distB="0" distL="0" distR="0">
            <wp:extent cx="4544324" cy="3294809"/>
            <wp:effectExtent l="19050" t="0" r="8626" b="0"/>
            <wp:docPr id="5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4554989" cy="3302541"/>
                    </a:xfrm>
                    <a:prstGeom prst="rect">
                      <a:avLst/>
                    </a:prstGeom>
                    <a:noFill/>
                  </pic:spPr>
                </pic:pic>
              </a:graphicData>
            </a:graphic>
          </wp:inline>
        </w:drawing>
      </w:r>
    </w:p>
    <w:p w:rsidR="004E3F42" w:rsidRDefault="00C90B16" w:rsidP="006F3BD3">
      <w:pPr>
        <w:pStyle w:val="ListParagraph"/>
        <w:spacing w:after="0"/>
        <w:ind w:left="0"/>
        <w:jc w:val="center"/>
      </w:pPr>
      <w:r>
        <w:t>Figure 2: Energy consumption di</w:t>
      </w:r>
      <w:r w:rsidR="0053201C">
        <w:t>stribution per sector in Sahab c</w:t>
      </w:r>
      <w:r>
        <w:t>ity</w:t>
      </w:r>
    </w:p>
    <w:p w:rsidR="006411DA" w:rsidRPr="00067543" w:rsidRDefault="006411DA" w:rsidP="002075B2">
      <w:pPr>
        <w:pStyle w:val="ListParagraph"/>
        <w:spacing w:after="0"/>
        <w:ind w:left="0"/>
        <w:jc w:val="both"/>
      </w:pPr>
      <w:r>
        <w:lastRenderedPageBreak/>
        <w:t xml:space="preserve">Figure 3 </w:t>
      </w:r>
      <w:r w:rsidR="00D46B24">
        <w:t>and 4 show</w:t>
      </w:r>
      <w:r>
        <w:t xml:space="preserve"> the amount</w:t>
      </w:r>
      <w:r w:rsidR="00D46B24">
        <w:t xml:space="preserve"> and </w:t>
      </w:r>
      <w:r w:rsidR="008042B8">
        <w:t>weight of</w:t>
      </w:r>
      <w:r w:rsidR="00643A41">
        <w:t xml:space="preserve"> </w:t>
      </w:r>
      <w:r w:rsidR="002075B2">
        <w:t>greenhouse</w:t>
      </w:r>
      <w:r w:rsidR="004E3F42">
        <w:t xml:space="preserve"> gases</w:t>
      </w:r>
      <w:r w:rsidR="00C35347">
        <w:t xml:space="preserve"> e</w:t>
      </w:r>
      <w:r>
        <w:t xml:space="preserve">mission per sector for year of 2014, </w:t>
      </w:r>
      <w:r w:rsidR="00BF51A9">
        <w:t>which reached to 83,503 ton. A</w:t>
      </w:r>
      <w:r w:rsidR="004E3F42">
        <w:t>lso</w:t>
      </w:r>
      <w:r>
        <w:t xml:space="preserve"> it </w:t>
      </w:r>
      <w:r w:rsidR="008042B8">
        <w:t>is worth mentioning that</w:t>
      </w:r>
      <w:r>
        <w:t xml:space="preserve"> the amount of waste resulted from </w:t>
      </w:r>
      <w:r w:rsidR="002075B2">
        <w:t>S</w:t>
      </w:r>
      <w:r>
        <w:t>ah</w:t>
      </w:r>
      <w:r w:rsidR="002075B2">
        <w:t>a</w:t>
      </w:r>
      <w:r>
        <w:t>b city</w:t>
      </w:r>
      <w:r w:rsidR="00643A41">
        <w:t xml:space="preserve"> </w:t>
      </w:r>
      <w:r w:rsidR="002075B2">
        <w:t>considered</w:t>
      </w:r>
      <w:r w:rsidR="00643A41">
        <w:t xml:space="preserve"> </w:t>
      </w:r>
      <w:r>
        <w:t>in the CO</w:t>
      </w:r>
      <w:r w:rsidRPr="00067543">
        <w:rPr>
          <w:vertAlign w:val="subscript"/>
        </w:rPr>
        <w:t>2</w:t>
      </w:r>
      <w:r w:rsidR="00067543">
        <w:t xml:space="preserve"> producing</w:t>
      </w:r>
      <w:r w:rsidR="002075B2">
        <w:t xml:space="preserve"> sources</w:t>
      </w:r>
      <w:r w:rsidR="00643A41">
        <w:t xml:space="preserve"> </w:t>
      </w:r>
      <w:r w:rsidR="00C35347">
        <w:t xml:space="preserve">in addition to the </w:t>
      </w:r>
      <w:r w:rsidR="008042B8">
        <w:t xml:space="preserve">local </w:t>
      </w:r>
      <w:r w:rsidR="00C35347">
        <w:t>transportation</w:t>
      </w:r>
      <w:r w:rsidR="00067543">
        <w:t xml:space="preserve">. As provided from </w:t>
      </w:r>
      <w:r w:rsidR="008042B8">
        <w:t>the responsible staff of Sahab M</w:t>
      </w:r>
      <w:r w:rsidR="00067543">
        <w:t>unicipality, Sahab</w:t>
      </w:r>
      <w:r w:rsidR="00643A41">
        <w:t xml:space="preserve"> </w:t>
      </w:r>
      <w:r w:rsidR="00067543">
        <w:t>city</w:t>
      </w:r>
      <w:r w:rsidR="00643A41">
        <w:t xml:space="preserve"> </w:t>
      </w:r>
      <w:r w:rsidR="00067543">
        <w:t xml:space="preserve">produces about </w:t>
      </w:r>
      <w:r>
        <w:t>8</w:t>
      </w:r>
      <w:r w:rsidR="00C35347">
        <w:t>5</w:t>
      </w:r>
      <w:r>
        <w:t xml:space="preserve"> ton waste</w:t>
      </w:r>
      <w:r w:rsidR="00067543">
        <w:t>s</w:t>
      </w:r>
      <w:r>
        <w:t xml:space="preserve"> per day</w:t>
      </w:r>
      <w:r w:rsidR="00BF51A9">
        <w:t>,</w:t>
      </w:r>
      <w:r>
        <w:t xml:space="preserve"> which equals to </w:t>
      </w:r>
      <w:r w:rsidR="0083693B" w:rsidRPr="0083693B">
        <w:t>31</w:t>
      </w:r>
      <w:r w:rsidR="0083693B">
        <w:t>,</w:t>
      </w:r>
      <w:r w:rsidR="0083693B" w:rsidRPr="0083693B">
        <w:t>025</w:t>
      </w:r>
      <w:r>
        <w:t>ton per year</w:t>
      </w:r>
      <w:r w:rsidR="00067543">
        <w:t>,t</w:t>
      </w:r>
      <w:r>
        <w:t xml:space="preserve">his amount of waste produces </w:t>
      </w:r>
      <w:r w:rsidR="0083693B">
        <w:t>12,875</w:t>
      </w:r>
      <w:r>
        <w:t xml:space="preserve"> ton </w:t>
      </w:r>
      <w:r w:rsidR="00091402">
        <w:t>CO</w:t>
      </w:r>
      <w:r w:rsidR="00091402">
        <w:rPr>
          <w:vertAlign w:val="subscript"/>
        </w:rPr>
        <w:t xml:space="preserve">2 </w:t>
      </w:r>
      <w:r w:rsidR="00BF51A9">
        <w:t>per year, w</w:t>
      </w:r>
      <w:r w:rsidR="00067543">
        <w:t>hereas the transportation sector produce</w:t>
      </w:r>
      <w:r w:rsidR="00D56433">
        <w:t>s</w:t>
      </w:r>
      <w:r w:rsidR="00067543">
        <w:t xml:space="preserve"> around 22,547 ton CO</w:t>
      </w:r>
      <w:r w:rsidR="00067543">
        <w:rPr>
          <w:vertAlign w:val="subscript"/>
        </w:rPr>
        <w:t>2</w:t>
      </w:r>
      <w:r w:rsidR="00067543">
        <w:t xml:space="preserve"> per year</w:t>
      </w:r>
      <w:r w:rsidR="00D56433">
        <w:t>,</w:t>
      </w:r>
      <w:r w:rsidR="00067543">
        <w:t xml:space="preserve"> which takes 27% of the total CO</w:t>
      </w:r>
      <w:r w:rsidR="00067543">
        <w:rPr>
          <w:vertAlign w:val="subscript"/>
        </w:rPr>
        <w:t xml:space="preserve">2 </w:t>
      </w:r>
      <w:r w:rsidR="00466F27">
        <w:t>emission</w:t>
      </w:r>
      <w:r w:rsidR="00D56433">
        <w:t>s</w:t>
      </w:r>
      <w:r w:rsidR="00466F27">
        <w:t xml:space="preserve"> in the c</w:t>
      </w:r>
      <w:r w:rsidR="00067543">
        <w:t>ity.</w:t>
      </w:r>
    </w:p>
    <w:p w:rsidR="00091402" w:rsidRDefault="00091402" w:rsidP="006411DA">
      <w:pPr>
        <w:pStyle w:val="ListParagraph"/>
        <w:spacing w:after="0"/>
        <w:ind w:left="0"/>
        <w:jc w:val="both"/>
      </w:pPr>
    </w:p>
    <w:p w:rsidR="00224B03" w:rsidRDefault="00224B03" w:rsidP="00224B03">
      <w:pPr>
        <w:pStyle w:val="ListParagraph"/>
        <w:spacing w:after="0"/>
        <w:ind w:left="0"/>
        <w:jc w:val="center"/>
      </w:pPr>
      <w:r w:rsidRPr="00224B03">
        <w:rPr>
          <w:noProof/>
        </w:rPr>
        <w:drawing>
          <wp:inline distT="0" distB="0" distL="0" distR="0">
            <wp:extent cx="3730901" cy="3114136"/>
            <wp:effectExtent l="19050" t="0" r="21949" b="0"/>
            <wp:docPr id="84"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7BDB" w:rsidRPr="00D56433" w:rsidRDefault="003E022E" w:rsidP="00D56433">
      <w:pPr>
        <w:pStyle w:val="ListParagraph"/>
        <w:spacing w:after="0"/>
        <w:ind w:left="0"/>
        <w:jc w:val="center"/>
        <w:rPr>
          <w:sz w:val="20"/>
          <w:szCs w:val="20"/>
        </w:rPr>
      </w:pPr>
      <w:r w:rsidRPr="00D56433">
        <w:rPr>
          <w:sz w:val="20"/>
          <w:szCs w:val="20"/>
        </w:rPr>
        <w:t xml:space="preserve">Figure 3: Annual </w:t>
      </w:r>
      <w:r w:rsidR="00BF51A9">
        <w:rPr>
          <w:sz w:val="20"/>
          <w:szCs w:val="20"/>
        </w:rPr>
        <w:t>Gr</w:t>
      </w:r>
      <w:r w:rsidR="00467BDB" w:rsidRPr="00D56433">
        <w:rPr>
          <w:sz w:val="20"/>
          <w:szCs w:val="20"/>
        </w:rPr>
        <w:t>een House gases</w:t>
      </w:r>
      <w:r w:rsidRPr="00D56433">
        <w:rPr>
          <w:sz w:val="20"/>
          <w:szCs w:val="20"/>
        </w:rPr>
        <w:t xml:space="preserve"> emission for Sahab City for year of 2014</w:t>
      </w:r>
    </w:p>
    <w:p w:rsidR="00467BDB" w:rsidRDefault="00467BDB" w:rsidP="003E022E">
      <w:pPr>
        <w:pStyle w:val="ListParagraph"/>
        <w:spacing w:after="0"/>
        <w:ind w:left="0"/>
        <w:jc w:val="center"/>
      </w:pPr>
    </w:p>
    <w:p w:rsidR="00D56433" w:rsidRPr="00091402" w:rsidRDefault="0083693B" w:rsidP="00D56433">
      <w:pPr>
        <w:pStyle w:val="ListParagraph"/>
        <w:spacing w:after="0"/>
        <w:ind w:left="0"/>
        <w:jc w:val="center"/>
      </w:pPr>
      <w:r>
        <w:rPr>
          <w:noProof/>
        </w:rPr>
        <w:lastRenderedPageBreak/>
        <w:drawing>
          <wp:inline distT="0" distB="0" distL="0" distR="0">
            <wp:extent cx="4334969" cy="2786332"/>
            <wp:effectExtent l="19050" t="0" r="8431" b="0"/>
            <wp:docPr id="7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4342701" cy="2791302"/>
                    </a:xfrm>
                    <a:prstGeom prst="rect">
                      <a:avLst/>
                    </a:prstGeom>
                    <a:noFill/>
                  </pic:spPr>
                </pic:pic>
              </a:graphicData>
            </a:graphic>
          </wp:inline>
        </w:drawing>
      </w:r>
    </w:p>
    <w:p w:rsidR="006411DA" w:rsidRDefault="00467BDB" w:rsidP="0053201C">
      <w:pPr>
        <w:pStyle w:val="ListParagraph"/>
        <w:spacing w:after="0"/>
        <w:ind w:left="0"/>
        <w:jc w:val="center"/>
        <w:rPr>
          <w:sz w:val="20"/>
          <w:szCs w:val="20"/>
        </w:rPr>
      </w:pPr>
      <w:r w:rsidRPr="00D56433">
        <w:rPr>
          <w:sz w:val="20"/>
          <w:szCs w:val="20"/>
        </w:rPr>
        <w:t>Figure 4: Green House Gases Emission weights distribution per sector</w:t>
      </w:r>
    </w:p>
    <w:p w:rsidR="00BF51A9" w:rsidRDefault="00BF51A9" w:rsidP="0053201C">
      <w:pPr>
        <w:pStyle w:val="ListParagraph"/>
        <w:spacing w:after="0"/>
        <w:ind w:left="0"/>
        <w:jc w:val="center"/>
        <w:rPr>
          <w:sz w:val="20"/>
          <w:szCs w:val="20"/>
        </w:rPr>
      </w:pPr>
    </w:p>
    <w:p w:rsidR="006058E2" w:rsidRDefault="006058E2" w:rsidP="00224B03">
      <w:pPr>
        <w:pStyle w:val="ListParagraph"/>
        <w:spacing w:after="0"/>
        <w:ind w:left="0"/>
        <w:rPr>
          <w:sz w:val="20"/>
          <w:szCs w:val="20"/>
        </w:rPr>
      </w:pPr>
    </w:p>
    <w:p w:rsidR="00224B03" w:rsidRPr="00D56433" w:rsidRDefault="00224B03" w:rsidP="00224B03">
      <w:pPr>
        <w:pStyle w:val="ListParagraph"/>
        <w:spacing w:after="0"/>
        <w:ind w:left="0"/>
        <w:rPr>
          <w:sz w:val="20"/>
          <w:szCs w:val="20"/>
        </w:rPr>
      </w:pPr>
    </w:p>
    <w:p w:rsidR="00B30989" w:rsidRDefault="00B30989" w:rsidP="007040DE">
      <w:pPr>
        <w:pStyle w:val="ListParagraph"/>
        <w:numPr>
          <w:ilvl w:val="1"/>
          <w:numId w:val="6"/>
        </w:numPr>
        <w:jc w:val="both"/>
        <w:outlineLvl w:val="1"/>
        <w:rPr>
          <w:rFonts w:eastAsiaTheme="majorEastAsia" w:cs="Arial"/>
          <w:b/>
          <w:bCs/>
          <w:color w:val="808080" w:themeColor="background1" w:themeShade="80"/>
          <w:sz w:val="28"/>
          <w:szCs w:val="28"/>
        </w:rPr>
      </w:pPr>
      <w:bookmarkStart w:id="7" w:name="_Toc435736011"/>
      <w:r w:rsidRPr="00B30989">
        <w:rPr>
          <w:rFonts w:eastAsiaTheme="majorEastAsia" w:cs="Arial"/>
          <w:b/>
          <w:bCs/>
          <w:color w:val="808080" w:themeColor="background1" w:themeShade="80"/>
          <w:sz w:val="28"/>
          <w:szCs w:val="28"/>
        </w:rPr>
        <w:t>Energy Consumption reduction Target for 10 years</w:t>
      </w:r>
      <w:bookmarkEnd w:id="7"/>
    </w:p>
    <w:p w:rsidR="00594407" w:rsidRPr="00815DC4" w:rsidRDefault="00845FC8" w:rsidP="00D57F58">
      <w:pPr>
        <w:jc w:val="both"/>
        <w:rPr>
          <w:sz w:val="24"/>
          <w:szCs w:val="24"/>
          <w:lang w:val="en-GB"/>
        </w:rPr>
      </w:pPr>
      <w:r w:rsidRPr="00845FC8">
        <w:rPr>
          <w:sz w:val="24"/>
          <w:szCs w:val="24"/>
          <w:lang w:val="en-GB"/>
        </w:rPr>
        <w:t xml:space="preserve">The main </w:t>
      </w:r>
      <w:r w:rsidR="009D577F">
        <w:rPr>
          <w:sz w:val="24"/>
          <w:szCs w:val="24"/>
          <w:lang w:val="en-GB"/>
        </w:rPr>
        <w:t>goal of this strategy is</w:t>
      </w:r>
      <w:r w:rsidR="00C35347">
        <w:rPr>
          <w:sz w:val="24"/>
          <w:szCs w:val="24"/>
          <w:lang w:val="en-GB"/>
        </w:rPr>
        <w:t xml:space="preserve"> to e</w:t>
      </w:r>
      <w:r w:rsidRPr="00845FC8">
        <w:rPr>
          <w:sz w:val="24"/>
          <w:szCs w:val="24"/>
          <w:lang w:val="en-GB"/>
        </w:rPr>
        <w:t xml:space="preserve">nhance the capacity of local authorities to develop and implement sustainable energy efficiency &amp; renewable energy Plans </w:t>
      </w:r>
      <w:r w:rsidRPr="009D577F">
        <w:rPr>
          <w:sz w:val="24"/>
          <w:szCs w:val="24"/>
          <w:lang w:val="en-GB"/>
        </w:rPr>
        <w:t>in participatory approach with the Mayor and Municipal Council that defines an appropriate governance structure for the effective implementation of this plan. This plan will enable Sahab Municipality to be a Renewable Energy Pilot at the level of Jordan</w:t>
      </w:r>
      <w:r w:rsidR="002075B2">
        <w:rPr>
          <w:sz w:val="24"/>
          <w:szCs w:val="24"/>
          <w:lang w:val="en-GB"/>
        </w:rPr>
        <w:t>’s</w:t>
      </w:r>
      <w:r w:rsidRPr="009D577F">
        <w:rPr>
          <w:sz w:val="24"/>
          <w:szCs w:val="24"/>
          <w:lang w:val="en-GB"/>
        </w:rPr>
        <w:t xml:space="preserve"> Municipalities and will contribute in reducing Sahab’s energy demand. </w:t>
      </w:r>
    </w:p>
    <w:p w:rsidR="00EA32AD" w:rsidRDefault="003804D9" w:rsidP="00D46B24">
      <w:pPr>
        <w:jc w:val="both"/>
        <w:rPr>
          <w:sz w:val="24"/>
          <w:szCs w:val="24"/>
          <w:lang w:val="en-GB"/>
        </w:rPr>
      </w:pPr>
      <w:r>
        <w:rPr>
          <w:sz w:val="24"/>
          <w:szCs w:val="24"/>
          <w:lang w:val="en-GB"/>
        </w:rPr>
        <w:t xml:space="preserve">Table 1 </w:t>
      </w:r>
      <w:r w:rsidR="00594407" w:rsidRPr="00815DC4">
        <w:rPr>
          <w:sz w:val="24"/>
          <w:szCs w:val="24"/>
          <w:lang w:val="en-GB"/>
        </w:rPr>
        <w:t>shows the energy consumption and the targeted annual energy consumption reduction for the next 10 years</w:t>
      </w:r>
      <w:r w:rsidR="007179B3">
        <w:rPr>
          <w:sz w:val="24"/>
          <w:szCs w:val="24"/>
          <w:lang w:val="en-GB"/>
        </w:rPr>
        <w:t xml:space="preserve">, which shows that the desired </w:t>
      </w:r>
      <w:r w:rsidR="00BF51A9">
        <w:rPr>
          <w:sz w:val="24"/>
          <w:szCs w:val="24"/>
          <w:lang w:val="en-GB"/>
        </w:rPr>
        <w:t xml:space="preserve">energy </w:t>
      </w:r>
      <w:r w:rsidR="007179B3">
        <w:rPr>
          <w:sz w:val="24"/>
          <w:szCs w:val="24"/>
          <w:lang w:val="en-GB"/>
        </w:rPr>
        <w:t>saving after 10 years reaches</w:t>
      </w:r>
      <w:r w:rsidR="00C831F9">
        <w:rPr>
          <w:sz w:val="24"/>
          <w:szCs w:val="24"/>
          <w:lang w:val="en-GB"/>
        </w:rPr>
        <w:t xml:space="preserve"> to</w:t>
      </w:r>
      <w:r w:rsidR="00BF51A9">
        <w:rPr>
          <w:sz w:val="24"/>
          <w:szCs w:val="24"/>
          <w:lang w:val="en-GB"/>
        </w:rPr>
        <w:t>2</w:t>
      </w:r>
      <w:r w:rsidR="007179B3">
        <w:rPr>
          <w:sz w:val="24"/>
          <w:szCs w:val="24"/>
          <w:lang w:val="en-GB"/>
        </w:rPr>
        <w:t>0% of the current energy consumption with CO</w:t>
      </w:r>
      <w:r w:rsidR="007179B3">
        <w:rPr>
          <w:sz w:val="24"/>
          <w:szCs w:val="24"/>
          <w:vertAlign w:val="subscript"/>
          <w:lang w:val="en-GB"/>
        </w:rPr>
        <w:t xml:space="preserve">2 </w:t>
      </w:r>
      <w:r w:rsidR="007179B3">
        <w:rPr>
          <w:sz w:val="24"/>
          <w:szCs w:val="24"/>
          <w:lang w:val="en-GB"/>
        </w:rPr>
        <w:t xml:space="preserve">Emission reduction of  </w:t>
      </w:r>
      <w:r w:rsidR="00D46B24">
        <w:rPr>
          <w:sz w:val="24"/>
          <w:szCs w:val="24"/>
          <w:lang w:val="en-GB"/>
        </w:rPr>
        <w:t>4,939</w:t>
      </w:r>
      <w:r w:rsidR="007179B3">
        <w:rPr>
          <w:sz w:val="24"/>
          <w:szCs w:val="24"/>
          <w:lang w:val="en-GB"/>
        </w:rPr>
        <w:t xml:space="preserve"> ton</w:t>
      </w:r>
      <w:r w:rsidR="00594407" w:rsidRPr="00815DC4">
        <w:rPr>
          <w:sz w:val="24"/>
          <w:szCs w:val="24"/>
          <w:lang w:val="en-GB"/>
        </w:rPr>
        <w:t>.</w:t>
      </w:r>
    </w:p>
    <w:p w:rsidR="006F3BD3" w:rsidRDefault="006F3BD3" w:rsidP="00BF51A9">
      <w:pPr>
        <w:jc w:val="both"/>
        <w:rPr>
          <w:sz w:val="24"/>
          <w:szCs w:val="24"/>
          <w:lang w:val="en-GB"/>
        </w:rPr>
      </w:pPr>
    </w:p>
    <w:p w:rsidR="006F3BD3" w:rsidRDefault="006F3BD3" w:rsidP="00BF51A9">
      <w:pPr>
        <w:jc w:val="both"/>
        <w:rPr>
          <w:sz w:val="24"/>
          <w:szCs w:val="24"/>
          <w:lang w:val="en-GB"/>
        </w:rPr>
      </w:pPr>
    </w:p>
    <w:p w:rsidR="006F3BD3" w:rsidRDefault="006F3BD3" w:rsidP="00BF51A9">
      <w:pPr>
        <w:jc w:val="both"/>
        <w:rPr>
          <w:sz w:val="24"/>
          <w:szCs w:val="24"/>
          <w:lang w:val="en-GB"/>
        </w:rPr>
      </w:pPr>
    </w:p>
    <w:p w:rsidR="006F3BD3" w:rsidRPr="00815DC4" w:rsidRDefault="006F3BD3" w:rsidP="00BF51A9">
      <w:pPr>
        <w:jc w:val="both"/>
        <w:rPr>
          <w:sz w:val="24"/>
          <w:szCs w:val="24"/>
          <w:lang w:val="en-GB"/>
        </w:rPr>
      </w:pPr>
    </w:p>
    <w:p w:rsidR="00A645A9" w:rsidRPr="00AD0E09" w:rsidRDefault="003804D9" w:rsidP="00AD0E09">
      <w:pPr>
        <w:spacing w:after="0"/>
        <w:jc w:val="center"/>
        <w:rPr>
          <w:sz w:val="20"/>
          <w:szCs w:val="20"/>
          <w:lang w:val="en-GB"/>
        </w:rPr>
      </w:pPr>
      <w:r>
        <w:rPr>
          <w:sz w:val="20"/>
          <w:szCs w:val="20"/>
          <w:lang w:val="en-GB"/>
        </w:rPr>
        <w:lastRenderedPageBreak/>
        <w:t>Table 1</w:t>
      </w:r>
      <w:r w:rsidR="00594407" w:rsidRPr="00594407">
        <w:rPr>
          <w:sz w:val="20"/>
          <w:szCs w:val="20"/>
          <w:lang w:val="en-GB"/>
        </w:rPr>
        <w:t>: Energy consumption reduction target for the next 10 years</w:t>
      </w:r>
    </w:p>
    <w:tbl>
      <w:tblPr>
        <w:tblW w:w="8560" w:type="dxa"/>
        <w:jc w:val="center"/>
        <w:tblInd w:w="94" w:type="dxa"/>
        <w:tblLook w:val="04A0"/>
      </w:tblPr>
      <w:tblGrid>
        <w:gridCol w:w="1120"/>
        <w:gridCol w:w="2400"/>
        <w:gridCol w:w="2070"/>
        <w:gridCol w:w="1530"/>
        <w:gridCol w:w="1440"/>
      </w:tblGrid>
      <w:tr w:rsidR="0060095D" w:rsidRPr="0060095D" w:rsidTr="0060095D">
        <w:trPr>
          <w:trHeight w:val="750"/>
          <w:jc w:val="center"/>
        </w:trPr>
        <w:tc>
          <w:tcPr>
            <w:tcW w:w="3520" w:type="dxa"/>
            <w:gridSpan w:val="2"/>
            <w:tcBorders>
              <w:top w:val="single" w:sz="4" w:space="0" w:color="538ED5"/>
              <w:left w:val="nil"/>
              <w:bottom w:val="single" w:sz="4" w:space="0" w:color="538ED5"/>
              <w:right w:val="nil"/>
            </w:tcBorders>
            <w:shd w:val="clear" w:color="000000" w:fill="31849B"/>
            <w:vAlign w:val="center"/>
            <w:hideMark/>
          </w:tcPr>
          <w:p w:rsidR="0060095D" w:rsidRPr="0060095D" w:rsidRDefault="0060095D" w:rsidP="0060095D">
            <w:pPr>
              <w:spacing w:after="0" w:line="240" w:lineRule="auto"/>
              <w:jc w:val="center"/>
              <w:rPr>
                <w:rFonts w:ascii="Calibri" w:eastAsia="Times New Roman" w:hAnsi="Calibri" w:cs="Calibri"/>
                <w:b/>
                <w:bCs/>
                <w:color w:val="FFFFFF"/>
              </w:rPr>
            </w:pPr>
            <w:r w:rsidRPr="0060095D">
              <w:rPr>
                <w:rFonts w:ascii="Calibri" w:eastAsia="Times New Roman" w:hAnsi="Calibri" w:cs="Calibri"/>
                <w:b/>
                <w:bCs/>
                <w:color w:val="FFFFFF"/>
              </w:rPr>
              <w:t xml:space="preserve">  </w:t>
            </w:r>
          </w:p>
        </w:tc>
        <w:tc>
          <w:tcPr>
            <w:tcW w:w="2070" w:type="dxa"/>
            <w:tcBorders>
              <w:top w:val="single" w:sz="12" w:space="0" w:color="FFFFFF"/>
              <w:left w:val="single" w:sz="4" w:space="0" w:color="538ED5"/>
              <w:bottom w:val="single" w:sz="8" w:space="0" w:color="538ED5"/>
              <w:right w:val="single" w:sz="4" w:space="0" w:color="538ED5"/>
            </w:tcBorders>
            <w:shd w:val="clear" w:color="000000" w:fill="31849B"/>
            <w:vAlign w:val="center"/>
            <w:hideMark/>
          </w:tcPr>
          <w:p w:rsidR="0060095D" w:rsidRPr="0060095D" w:rsidRDefault="0060095D" w:rsidP="0060095D">
            <w:pPr>
              <w:spacing w:after="0" w:line="240" w:lineRule="auto"/>
              <w:jc w:val="center"/>
              <w:rPr>
                <w:rFonts w:ascii="Calibri" w:eastAsia="Times New Roman" w:hAnsi="Calibri" w:cs="Calibri"/>
                <w:b/>
                <w:bCs/>
                <w:color w:val="FFFFFF"/>
              </w:rPr>
            </w:pPr>
            <w:r w:rsidRPr="0060095D">
              <w:rPr>
                <w:rFonts w:ascii="Calibri" w:eastAsia="Times New Roman" w:hAnsi="Calibri" w:cs="Calibri"/>
                <w:b/>
                <w:bCs/>
                <w:color w:val="FFFFFF"/>
              </w:rPr>
              <w:t>Electric Energy Consumption (kWh)</w:t>
            </w:r>
          </w:p>
        </w:tc>
        <w:tc>
          <w:tcPr>
            <w:tcW w:w="1530" w:type="dxa"/>
            <w:tcBorders>
              <w:top w:val="single" w:sz="12" w:space="0" w:color="FFFFFF"/>
              <w:left w:val="nil"/>
              <w:bottom w:val="single" w:sz="8" w:space="0" w:color="538ED5"/>
              <w:right w:val="single" w:sz="4" w:space="0" w:color="538ED5"/>
            </w:tcBorders>
            <w:shd w:val="clear" w:color="000000" w:fill="31849B"/>
            <w:vAlign w:val="center"/>
            <w:hideMark/>
          </w:tcPr>
          <w:p w:rsidR="0060095D" w:rsidRPr="0060095D" w:rsidRDefault="0060095D" w:rsidP="0060095D">
            <w:pPr>
              <w:spacing w:after="0" w:line="240" w:lineRule="auto"/>
              <w:jc w:val="center"/>
              <w:rPr>
                <w:rFonts w:ascii="Calibri" w:eastAsia="Times New Roman" w:hAnsi="Calibri" w:cs="Calibri"/>
                <w:b/>
                <w:bCs/>
                <w:color w:val="FFFFFF"/>
              </w:rPr>
            </w:pPr>
            <w:r w:rsidRPr="0060095D">
              <w:rPr>
                <w:rFonts w:ascii="Calibri" w:eastAsia="Times New Roman" w:hAnsi="Calibri" w:cs="Calibri"/>
                <w:b/>
                <w:bCs/>
                <w:color w:val="FFFFFF"/>
              </w:rPr>
              <w:t>Percentage of reduction (%)</w:t>
            </w:r>
          </w:p>
        </w:tc>
        <w:tc>
          <w:tcPr>
            <w:tcW w:w="1440" w:type="dxa"/>
            <w:tcBorders>
              <w:top w:val="single" w:sz="12" w:space="0" w:color="FFFFFF"/>
              <w:left w:val="nil"/>
              <w:bottom w:val="single" w:sz="8" w:space="0" w:color="538ED5"/>
              <w:right w:val="nil"/>
            </w:tcBorders>
            <w:shd w:val="clear" w:color="000000" w:fill="31849B"/>
            <w:vAlign w:val="center"/>
            <w:hideMark/>
          </w:tcPr>
          <w:p w:rsidR="0060095D" w:rsidRPr="0060095D" w:rsidRDefault="0060095D" w:rsidP="0060095D">
            <w:pPr>
              <w:spacing w:after="0" w:line="240" w:lineRule="auto"/>
              <w:jc w:val="center"/>
              <w:rPr>
                <w:rFonts w:ascii="Calibri" w:eastAsia="Times New Roman" w:hAnsi="Calibri" w:cs="Calibri"/>
                <w:b/>
                <w:bCs/>
                <w:color w:val="FFFFFF"/>
              </w:rPr>
            </w:pPr>
            <w:r w:rsidRPr="0060095D">
              <w:rPr>
                <w:rFonts w:ascii="Calibri" w:eastAsia="Times New Roman" w:hAnsi="Calibri" w:cs="Calibri"/>
                <w:b/>
                <w:bCs/>
                <w:color w:val="FFFFFF"/>
              </w:rPr>
              <w:t>CO</w:t>
            </w:r>
            <w:r w:rsidRPr="0060095D">
              <w:rPr>
                <w:rFonts w:ascii="Calibri" w:eastAsia="Times New Roman" w:hAnsi="Calibri" w:cs="Calibri"/>
                <w:b/>
                <w:bCs/>
                <w:color w:val="FFFFFF"/>
                <w:sz w:val="20"/>
                <w:szCs w:val="20"/>
                <w:vertAlign w:val="subscript"/>
              </w:rPr>
              <w:t xml:space="preserve">2 </w:t>
            </w:r>
            <w:r w:rsidRPr="0060095D">
              <w:rPr>
                <w:rFonts w:ascii="Calibri" w:eastAsia="Times New Roman" w:hAnsi="Calibri" w:cs="Calibri"/>
                <w:b/>
                <w:bCs/>
                <w:color w:val="FFFFFF"/>
                <w:sz w:val="20"/>
                <w:szCs w:val="20"/>
              </w:rPr>
              <w:t>reduction (Ton)</w:t>
            </w:r>
          </w:p>
        </w:tc>
      </w:tr>
      <w:tr w:rsidR="0060095D" w:rsidRPr="0060095D" w:rsidTr="0060095D">
        <w:trPr>
          <w:trHeight w:val="547"/>
          <w:jc w:val="center"/>
        </w:trPr>
        <w:tc>
          <w:tcPr>
            <w:tcW w:w="3520" w:type="dxa"/>
            <w:gridSpan w:val="2"/>
            <w:tcBorders>
              <w:top w:val="single" w:sz="4" w:space="0" w:color="538ED5"/>
              <w:left w:val="nil"/>
              <w:bottom w:val="single" w:sz="4" w:space="0" w:color="538ED5"/>
              <w:right w:val="single" w:sz="4" w:space="0" w:color="538ED5"/>
            </w:tcBorders>
            <w:shd w:val="clear" w:color="000000" w:fill="31849B"/>
            <w:vAlign w:val="center"/>
            <w:hideMark/>
          </w:tcPr>
          <w:p w:rsidR="0060095D" w:rsidRPr="0060095D" w:rsidRDefault="0060095D" w:rsidP="0060095D">
            <w:pPr>
              <w:spacing w:after="0" w:line="240" w:lineRule="auto"/>
              <w:jc w:val="center"/>
              <w:rPr>
                <w:rFonts w:ascii="Calibri" w:eastAsia="Times New Roman" w:hAnsi="Calibri" w:cs="Calibri"/>
                <w:b/>
                <w:bCs/>
                <w:color w:val="FFFFFF"/>
              </w:rPr>
            </w:pPr>
            <w:r w:rsidRPr="0060095D">
              <w:rPr>
                <w:rFonts w:ascii="Calibri" w:eastAsia="Times New Roman" w:hAnsi="Calibri" w:cs="Calibri"/>
                <w:b/>
                <w:bCs/>
                <w:color w:val="FFFFFF"/>
              </w:rPr>
              <w:t>Average Annual Consumption for the last two years (2013-2014)</w:t>
            </w:r>
          </w:p>
        </w:tc>
        <w:tc>
          <w:tcPr>
            <w:tcW w:w="207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38,343,800</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 0%</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0</w:t>
            </w:r>
          </w:p>
        </w:tc>
      </w:tr>
      <w:tr w:rsidR="0060095D" w:rsidRPr="0060095D" w:rsidTr="0060095D">
        <w:trPr>
          <w:trHeight w:val="315"/>
          <w:jc w:val="center"/>
        </w:trPr>
        <w:tc>
          <w:tcPr>
            <w:tcW w:w="1120" w:type="dxa"/>
            <w:vMerge w:val="restart"/>
            <w:tcBorders>
              <w:top w:val="nil"/>
              <w:left w:val="nil"/>
              <w:bottom w:val="single" w:sz="12" w:space="0" w:color="FFFFFF"/>
              <w:right w:val="single" w:sz="8" w:space="0" w:color="538ED5"/>
            </w:tcBorders>
            <w:shd w:val="clear" w:color="000000" w:fill="31849B"/>
            <w:vAlign w:val="center"/>
            <w:hideMark/>
          </w:tcPr>
          <w:p w:rsidR="0060095D" w:rsidRPr="0060095D" w:rsidRDefault="0060095D" w:rsidP="0060095D">
            <w:pPr>
              <w:spacing w:after="0" w:line="240" w:lineRule="auto"/>
              <w:jc w:val="center"/>
              <w:rPr>
                <w:rFonts w:ascii="Calibri" w:eastAsia="Times New Roman" w:hAnsi="Calibri" w:cs="Calibri"/>
                <w:b/>
                <w:bCs/>
                <w:color w:val="FFFFFF"/>
              </w:rPr>
            </w:pPr>
            <w:r w:rsidRPr="0060095D">
              <w:rPr>
                <w:rFonts w:ascii="Calibri" w:eastAsia="Times New Roman" w:hAnsi="Calibri" w:cs="Calibri"/>
                <w:b/>
                <w:bCs/>
                <w:color w:val="FFFFFF"/>
              </w:rPr>
              <w:t>Target</w:t>
            </w: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First Year (2016)</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37,768,643</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1.5%</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370</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Second Year (2017)</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37,193,486</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3.0%</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741</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Third Year (2018)</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36,503,297</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4.8%</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1,185</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Fourth Year (2019)</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35,813,109</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6.6%</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1,630</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Fifth Year (2020)</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35,115,252</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8.4%</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2,079</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Sixth Year (2021)</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34,260,185</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10.7%</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2,630</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Seventh Year (2022)</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33,416,621</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12.9%</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3,173</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Eighth Year (2023)</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32,496,370</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15.3%</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3,766</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Ninth Year (2024)</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31,597,208</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17.6%</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4,345</w:t>
            </w:r>
          </w:p>
        </w:tc>
      </w:tr>
      <w:tr w:rsidR="0060095D" w:rsidRPr="0060095D" w:rsidTr="0060095D">
        <w:trPr>
          <w:trHeight w:val="315"/>
          <w:jc w:val="center"/>
        </w:trPr>
        <w:tc>
          <w:tcPr>
            <w:tcW w:w="1120" w:type="dxa"/>
            <w:vMerge/>
            <w:tcBorders>
              <w:top w:val="nil"/>
              <w:left w:val="nil"/>
              <w:bottom w:val="single" w:sz="12" w:space="0" w:color="FFFFFF"/>
              <w:right w:val="single" w:sz="8" w:space="0" w:color="538ED5"/>
            </w:tcBorders>
            <w:vAlign w:val="center"/>
            <w:hideMark/>
          </w:tcPr>
          <w:p w:rsidR="0060095D" w:rsidRPr="0060095D" w:rsidRDefault="0060095D" w:rsidP="0060095D">
            <w:pPr>
              <w:spacing w:after="0" w:line="240" w:lineRule="auto"/>
              <w:rPr>
                <w:rFonts w:ascii="Calibri" w:eastAsia="Times New Roman" w:hAnsi="Calibri" w:cs="Calibri"/>
                <w:b/>
                <w:bCs/>
                <w:color w:val="FFFFFF"/>
              </w:rPr>
            </w:pPr>
          </w:p>
        </w:tc>
        <w:tc>
          <w:tcPr>
            <w:tcW w:w="2400" w:type="dxa"/>
            <w:tcBorders>
              <w:top w:val="nil"/>
              <w:left w:val="nil"/>
              <w:bottom w:val="single" w:sz="8" w:space="0" w:color="538ED5"/>
              <w:right w:val="nil"/>
            </w:tcBorders>
            <w:shd w:val="clear" w:color="auto" w:fill="auto"/>
            <w:vAlign w:val="center"/>
            <w:hideMark/>
          </w:tcPr>
          <w:p w:rsidR="0060095D" w:rsidRPr="0060095D" w:rsidRDefault="0060095D" w:rsidP="0060095D">
            <w:pPr>
              <w:spacing w:after="0" w:line="240" w:lineRule="auto"/>
              <w:rPr>
                <w:rFonts w:ascii="Calibri" w:eastAsia="Times New Roman" w:hAnsi="Calibri" w:cs="Calibri"/>
                <w:color w:val="000000"/>
              </w:rPr>
            </w:pPr>
            <w:r w:rsidRPr="0060095D">
              <w:rPr>
                <w:rFonts w:ascii="Calibri" w:eastAsia="Times New Roman" w:hAnsi="Calibri" w:cs="Calibri"/>
                <w:color w:val="000000"/>
              </w:rPr>
              <w:t>Tenth Year (2025)</w:t>
            </w:r>
          </w:p>
        </w:tc>
        <w:tc>
          <w:tcPr>
            <w:tcW w:w="207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30,675,040</w:t>
            </w:r>
          </w:p>
        </w:tc>
        <w:tc>
          <w:tcPr>
            <w:tcW w:w="153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20.0%</w:t>
            </w:r>
          </w:p>
        </w:tc>
        <w:tc>
          <w:tcPr>
            <w:tcW w:w="1440" w:type="dxa"/>
            <w:tcBorders>
              <w:top w:val="nil"/>
              <w:left w:val="single" w:sz="8" w:space="0" w:color="538ED5"/>
              <w:bottom w:val="single" w:sz="8" w:space="0" w:color="538ED5"/>
              <w:right w:val="nil"/>
            </w:tcBorders>
            <w:shd w:val="clear" w:color="auto" w:fill="auto"/>
            <w:vAlign w:val="center"/>
            <w:hideMark/>
          </w:tcPr>
          <w:p w:rsidR="0060095D" w:rsidRPr="0060095D" w:rsidRDefault="0060095D" w:rsidP="0060095D">
            <w:pPr>
              <w:spacing w:after="0" w:line="240" w:lineRule="auto"/>
              <w:jc w:val="center"/>
              <w:rPr>
                <w:rFonts w:ascii="Calibri" w:eastAsia="Times New Roman" w:hAnsi="Calibri" w:cs="Calibri"/>
                <w:color w:val="000000"/>
              </w:rPr>
            </w:pPr>
            <w:r w:rsidRPr="0060095D">
              <w:rPr>
                <w:rFonts w:ascii="Calibri" w:eastAsia="Times New Roman" w:hAnsi="Calibri" w:cs="Calibri"/>
                <w:color w:val="000000"/>
              </w:rPr>
              <w:t>4,939</w:t>
            </w:r>
          </w:p>
        </w:tc>
      </w:tr>
    </w:tbl>
    <w:p w:rsidR="00302150" w:rsidRDefault="00302150" w:rsidP="006F3BD3">
      <w:pPr>
        <w:outlineLvl w:val="0"/>
        <w:rPr>
          <w:rFonts w:eastAsiaTheme="majorEastAsia" w:cs="Arial"/>
          <w:color w:val="808080" w:themeColor="background1" w:themeShade="80"/>
          <w:sz w:val="24"/>
          <w:szCs w:val="24"/>
        </w:rPr>
      </w:pPr>
    </w:p>
    <w:p w:rsidR="009F7213" w:rsidRDefault="00D46B24" w:rsidP="002075B2">
      <w:pPr>
        <w:jc w:val="both"/>
        <w:rPr>
          <w:rFonts w:eastAsiaTheme="majorEastAsia" w:cs="Arial"/>
          <w:sz w:val="24"/>
          <w:szCs w:val="24"/>
        </w:rPr>
      </w:pPr>
      <w:r>
        <w:rPr>
          <w:rFonts w:eastAsiaTheme="majorEastAsia" w:cs="Arial"/>
          <w:sz w:val="24"/>
          <w:szCs w:val="24"/>
        </w:rPr>
        <w:t>Figure 5and 6 show</w:t>
      </w:r>
      <w:r w:rsidR="00302150">
        <w:rPr>
          <w:rFonts w:eastAsiaTheme="majorEastAsia" w:cs="Arial"/>
          <w:sz w:val="24"/>
          <w:szCs w:val="24"/>
        </w:rPr>
        <w:t xml:space="preserve"> the amo</w:t>
      </w:r>
      <w:r w:rsidR="001B564B">
        <w:rPr>
          <w:rFonts w:eastAsiaTheme="majorEastAsia" w:cs="Arial"/>
          <w:sz w:val="24"/>
          <w:szCs w:val="24"/>
        </w:rPr>
        <w:t xml:space="preserve">unt </w:t>
      </w:r>
      <w:r>
        <w:rPr>
          <w:rFonts w:eastAsiaTheme="majorEastAsia" w:cs="Arial"/>
          <w:sz w:val="24"/>
          <w:szCs w:val="24"/>
        </w:rPr>
        <w:t xml:space="preserve">and weight </w:t>
      </w:r>
      <w:r w:rsidR="001B564B">
        <w:rPr>
          <w:rFonts w:eastAsiaTheme="majorEastAsia" w:cs="Arial"/>
          <w:sz w:val="24"/>
          <w:szCs w:val="24"/>
        </w:rPr>
        <w:t>of CO</w:t>
      </w:r>
      <w:r w:rsidR="001B564B" w:rsidRPr="001B564B">
        <w:rPr>
          <w:rFonts w:eastAsiaTheme="majorEastAsia" w:cs="Arial"/>
          <w:sz w:val="24"/>
          <w:szCs w:val="24"/>
          <w:vertAlign w:val="subscript"/>
        </w:rPr>
        <w:t>2</w:t>
      </w:r>
      <w:r w:rsidR="001B564B">
        <w:rPr>
          <w:rFonts w:eastAsiaTheme="majorEastAsia" w:cs="Arial"/>
          <w:sz w:val="24"/>
          <w:szCs w:val="24"/>
        </w:rPr>
        <w:t xml:space="preserve"> can be reduced </w:t>
      </w:r>
      <w:r>
        <w:rPr>
          <w:rFonts w:eastAsiaTheme="majorEastAsia" w:cs="Arial"/>
          <w:sz w:val="24"/>
          <w:szCs w:val="24"/>
        </w:rPr>
        <w:t xml:space="preserve">per sector </w:t>
      </w:r>
      <w:r w:rsidR="001B564B">
        <w:rPr>
          <w:rFonts w:eastAsiaTheme="majorEastAsia" w:cs="Arial"/>
          <w:sz w:val="24"/>
          <w:szCs w:val="24"/>
        </w:rPr>
        <w:t>along the strategy period,</w:t>
      </w:r>
      <w:r w:rsidR="003C4D0E">
        <w:rPr>
          <w:rFonts w:eastAsiaTheme="majorEastAsia" w:cs="Arial"/>
          <w:sz w:val="24"/>
          <w:szCs w:val="24"/>
        </w:rPr>
        <w:t xml:space="preserve"> which the </w:t>
      </w:r>
      <w:r w:rsidR="00F72379" w:rsidRPr="00F72379">
        <w:rPr>
          <w:rFonts w:eastAsiaTheme="majorEastAsia" w:cs="Arial"/>
          <w:sz w:val="24"/>
          <w:szCs w:val="24"/>
        </w:rPr>
        <w:t xml:space="preserve">supposed </w:t>
      </w:r>
      <w:r w:rsidR="003C4D0E">
        <w:rPr>
          <w:rFonts w:eastAsiaTheme="majorEastAsia" w:cs="Arial"/>
          <w:sz w:val="24"/>
          <w:szCs w:val="24"/>
        </w:rPr>
        <w:t>overall CO</w:t>
      </w:r>
      <w:r w:rsidR="003C4D0E">
        <w:rPr>
          <w:rFonts w:eastAsiaTheme="majorEastAsia" w:cs="Arial"/>
          <w:sz w:val="24"/>
          <w:szCs w:val="24"/>
          <w:vertAlign w:val="subscript"/>
        </w:rPr>
        <w:t>2</w:t>
      </w:r>
      <w:r w:rsidR="003C4D0E">
        <w:rPr>
          <w:rFonts w:eastAsiaTheme="majorEastAsia" w:cs="Arial"/>
          <w:sz w:val="24"/>
          <w:szCs w:val="24"/>
        </w:rPr>
        <w:t xml:space="preserve"> reduction is 5,768 ton. I</w:t>
      </w:r>
      <w:r w:rsidR="001B564B">
        <w:rPr>
          <w:rFonts w:eastAsiaTheme="majorEastAsia" w:cs="Arial"/>
          <w:sz w:val="24"/>
          <w:szCs w:val="24"/>
        </w:rPr>
        <w:t>t is worth mentioning that the CO</w:t>
      </w:r>
      <w:r w:rsidR="001B564B" w:rsidRPr="001B564B">
        <w:rPr>
          <w:rFonts w:eastAsiaTheme="majorEastAsia" w:cs="Arial"/>
          <w:sz w:val="24"/>
          <w:szCs w:val="24"/>
          <w:vertAlign w:val="subscript"/>
        </w:rPr>
        <w:t>2</w:t>
      </w:r>
      <w:r w:rsidR="001B564B">
        <w:rPr>
          <w:rFonts w:eastAsiaTheme="majorEastAsia" w:cs="Arial"/>
          <w:sz w:val="24"/>
          <w:szCs w:val="24"/>
        </w:rPr>
        <w:t xml:space="preserve"> reduction in the transportation sector</w:t>
      </w:r>
      <w:r w:rsidR="003A3D42">
        <w:rPr>
          <w:rFonts w:eastAsiaTheme="majorEastAsia" w:cs="Arial"/>
          <w:sz w:val="24"/>
          <w:szCs w:val="24"/>
        </w:rPr>
        <w:t xml:space="preserve"> in the figures</w:t>
      </w:r>
      <w:r w:rsidR="001B564B">
        <w:rPr>
          <w:rFonts w:eastAsiaTheme="majorEastAsia" w:cs="Arial"/>
          <w:sz w:val="24"/>
          <w:szCs w:val="24"/>
        </w:rPr>
        <w:t xml:space="preserve"> is resulted due to </w:t>
      </w:r>
      <w:r w:rsidR="00224B03">
        <w:rPr>
          <w:rFonts w:eastAsiaTheme="majorEastAsia" w:cs="Arial"/>
          <w:sz w:val="24"/>
          <w:szCs w:val="24"/>
        </w:rPr>
        <w:t>p</w:t>
      </w:r>
      <w:r w:rsidR="001B564B" w:rsidRPr="001B564B">
        <w:rPr>
          <w:rFonts w:eastAsiaTheme="majorEastAsia" w:cs="Arial"/>
          <w:sz w:val="24"/>
          <w:szCs w:val="24"/>
        </w:rPr>
        <w:t xml:space="preserve">lanting </w:t>
      </w:r>
      <w:r w:rsidR="001B564B">
        <w:rPr>
          <w:rFonts w:eastAsiaTheme="majorEastAsia" w:cs="Arial"/>
          <w:sz w:val="24"/>
          <w:szCs w:val="24"/>
        </w:rPr>
        <w:t xml:space="preserve">about 140,000 </w:t>
      </w:r>
      <w:r w:rsidR="001B564B" w:rsidRPr="001B564B">
        <w:rPr>
          <w:rFonts w:eastAsiaTheme="majorEastAsia" w:cs="Arial"/>
          <w:sz w:val="24"/>
          <w:szCs w:val="24"/>
        </w:rPr>
        <w:t>trees</w:t>
      </w:r>
      <w:r w:rsidR="001B564B">
        <w:rPr>
          <w:rFonts w:eastAsiaTheme="majorEastAsia" w:cs="Arial"/>
          <w:sz w:val="24"/>
          <w:szCs w:val="24"/>
        </w:rPr>
        <w:t xml:space="preserve"> with type of (</w:t>
      </w:r>
      <w:r w:rsidR="00036326">
        <w:rPr>
          <w:rFonts w:eastAsiaTheme="majorEastAsia" w:cs="Arial"/>
          <w:sz w:val="24"/>
          <w:szCs w:val="24"/>
        </w:rPr>
        <w:t>Melia A</w:t>
      </w:r>
      <w:r w:rsidR="001B564B" w:rsidRPr="001B564B">
        <w:rPr>
          <w:rFonts w:eastAsiaTheme="majorEastAsia" w:cs="Arial"/>
          <w:sz w:val="24"/>
          <w:szCs w:val="24"/>
        </w:rPr>
        <w:t>zedarach</w:t>
      </w:r>
      <w:r w:rsidR="001B564B">
        <w:rPr>
          <w:rFonts w:eastAsiaTheme="majorEastAsia" w:cs="Arial"/>
          <w:sz w:val="24"/>
          <w:szCs w:val="24"/>
        </w:rPr>
        <w:t xml:space="preserve">) </w:t>
      </w:r>
      <w:r w:rsidR="00643A41">
        <w:rPr>
          <w:rFonts w:eastAsiaTheme="majorEastAsia" w:cs="Arial"/>
          <w:sz w:val="24"/>
          <w:szCs w:val="24"/>
        </w:rPr>
        <w:t xml:space="preserve">in the main streets </w:t>
      </w:r>
      <w:r w:rsidR="001B564B">
        <w:rPr>
          <w:rFonts w:eastAsiaTheme="majorEastAsia" w:cs="Arial"/>
          <w:sz w:val="24"/>
          <w:szCs w:val="24"/>
        </w:rPr>
        <w:t>by the end of 2016 year</w:t>
      </w:r>
      <w:r w:rsidR="00224B03">
        <w:rPr>
          <w:rFonts w:eastAsiaTheme="majorEastAsia" w:cs="Arial"/>
          <w:sz w:val="24"/>
          <w:szCs w:val="24"/>
        </w:rPr>
        <w:t xml:space="preserve"> </w:t>
      </w:r>
      <w:r w:rsidR="00544829">
        <w:rPr>
          <w:rFonts w:eastAsiaTheme="majorEastAsia" w:cs="Arial"/>
          <w:sz w:val="24"/>
          <w:szCs w:val="24"/>
        </w:rPr>
        <w:t>(according</w:t>
      </w:r>
      <w:r w:rsidR="002075B2">
        <w:rPr>
          <w:rFonts w:eastAsiaTheme="majorEastAsia" w:cs="Arial"/>
          <w:sz w:val="24"/>
          <w:szCs w:val="24"/>
        </w:rPr>
        <w:t xml:space="preserve"> to the available data from</w:t>
      </w:r>
      <w:r w:rsidR="00224B03">
        <w:rPr>
          <w:rFonts w:eastAsiaTheme="majorEastAsia" w:cs="Arial"/>
          <w:sz w:val="24"/>
          <w:szCs w:val="24"/>
        </w:rPr>
        <w:t xml:space="preserve"> Sahab municipality</w:t>
      </w:r>
      <w:r w:rsidR="00544829">
        <w:rPr>
          <w:rFonts w:eastAsiaTheme="majorEastAsia" w:cs="Arial"/>
          <w:sz w:val="24"/>
          <w:szCs w:val="24"/>
        </w:rPr>
        <w:t>),</w:t>
      </w:r>
      <w:r w:rsidR="001B564B">
        <w:rPr>
          <w:rFonts w:eastAsiaTheme="majorEastAsia" w:cs="Arial"/>
          <w:sz w:val="24"/>
          <w:szCs w:val="24"/>
        </w:rPr>
        <w:t xml:space="preserve"> which </w:t>
      </w:r>
      <w:r w:rsidR="00036326">
        <w:rPr>
          <w:rFonts w:eastAsiaTheme="majorEastAsia" w:cs="Arial"/>
          <w:sz w:val="24"/>
          <w:szCs w:val="24"/>
        </w:rPr>
        <w:t xml:space="preserve">reduces about </w:t>
      </w:r>
      <w:r w:rsidR="001B564B">
        <w:rPr>
          <w:rFonts w:eastAsiaTheme="majorEastAsia" w:cs="Arial"/>
          <w:sz w:val="24"/>
          <w:szCs w:val="24"/>
        </w:rPr>
        <w:t>83</w:t>
      </w:r>
      <w:r w:rsidR="00036326">
        <w:rPr>
          <w:rFonts w:eastAsiaTheme="majorEastAsia" w:cs="Arial"/>
          <w:sz w:val="24"/>
          <w:szCs w:val="24"/>
        </w:rPr>
        <w:t>0</w:t>
      </w:r>
      <w:r w:rsidR="001B564B">
        <w:rPr>
          <w:rFonts w:eastAsiaTheme="majorEastAsia" w:cs="Arial"/>
          <w:sz w:val="24"/>
          <w:szCs w:val="24"/>
        </w:rPr>
        <w:t xml:space="preserve"> ton CO</w:t>
      </w:r>
      <w:r w:rsidR="001B564B">
        <w:rPr>
          <w:rFonts w:eastAsiaTheme="majorEastAsia" w:cs="Arial"/>
          <w:sz w:val="24"/>
          <w:szCs w:val="24"/>
          <w:vertAlign w:val="subscript"/>
        </w:rPr>
        <w:t>2</w:t>
      </w:r>
      <w:r w:rsidR="00544829">
        <w:rPr>
          <w:rFonts w:eastAsiaTheme="majorEastAsia" w:cs="Arial"/>
          <w:sz w:val="24"/>
          <w:szCs w:val="24"/>
          <w:vertAlign w:val="superscript"/>
        </w:rPr>
        <w:t>1</w:t>
      </w:r>
      <w:r w:rsidR="00643A41">
        <w:rPr>
          <w:rFonts w:eastAsiaTheme="majorEastAsia" w:cs="Arial"/>
          <w:sz w:val="24"/>
          <w:szCs w:val="24"/>
          <w:vertAlign w:val="subscript"/>
        </w:rPr>
        <w:t xml:space="preserve"> </w:t>
      </w:r>
      <w:r w:rsidR="00643A41">
        <w:rPr>
          <w:rFonts w:eastAsiaTheme="majorEastAsia" w:cs="Arial"/>
          <w:sz w:val="24"/>
          <w:szCs w:val="24"/>
        </w:rPr>
        <w:t xml:space="preserve"> </w:t>
      </w:r>
      <w:r w:rsidR="00F72379" w:rsidRPr="00643A41">
        <w:rPr>
          <w:rFonts w:eastAsiaTheme="majorEastAsia" w:cs="Arial"/>
          <w:sz w:val="24"/>
          <w:szCs w:val="24"/>
        </w:rPr>
        <w:t>that</w:t>
      </w:r>
      <w:r w:rsidR="00F72379">
        <w:rPr>
          <w:rFonts w:eastAsiaTheme="majorEastAsia" w:cs="Arial"/>
          <w:sz w:val="24"/>
          <w:szCs w:val="24"/>
        </w:rPr>
        <w:t xml:space="preserve"> will be added to the overall CO</w:t>
      </w:r>
      <w:r w:rsidR="00F72379">
        <w:rPr>
          <w:rFonts w:eastAsiaTheme="majorEastAsia" w:cs="Arial"/>
          <w:sz w:val="24"/>
          <w:szCs w:val="24"/>
          <w:vertAlign w:val="subscript"/>
        </w:rPr>
        <w:t>2</w:t>
      </w:r>
      <w:r w:rsidR="00F72379">
        <w:rPr>
          <w:rFonts w:eastAsiaTheme="majorEastAsia" w:cs="Arial"/>
          <w:sz w:val="24"/>
          <w:szCs w:val="24"/>
        </w:rPr>
        <w:t xml:space="preserve"> reduction target.</w:t>
      </w:r>
    </w:p>
    <w:p w:rsidR="00544829" w:rsidRDefault="00544829" w:rsidP="002075B2">
      <w:pPr>
        <w:jc w:val="both"/>
        <w:rPr>
          <w:rFonts w:eastAsiaTheme="majorEastAsia" w:cs="Arial"/>
          <w:sz w:val="24"/>
          <w:szCs w:val="24"/>
        </w:rPr>
      </w:pPr>
    </w:p>
    <w:p w:rsidR="00544829" w:rsidRDefault="00544829" w:rsidP="002075B2">
      <w:pPr>
        <w:jc w:val="both"/>
        <w:rPr>
          <w:rFonts w:eastAsiaTheme="majorEastAsia" w:cs="Arial"/>
          <w:sz w:val="24"/>
          <w:szCs w:val="24"/>
        </w:rPr>
      </w:pPr>
    </w:p>
    <w:p w:rsidR="00544829" w:rsidRDefault="00544829" w:rsidP="002075B2">
      <w:pPr>
        <w:jc w:val="both"/>
        <w:rPr>
          <w:rFonts w:eastAsiaTheme="majorEastAsia" w:cs="Arial"/>
          <w:sz w:val="24"/>
          <w:szCs w:val="24"/>
        </w:rPr>
      </w:pPr>
    </w:p>
    <w:p w:rsidR="00544829" w:rsidRDefault="00544829" w:rsidP="002075B2">
      <w:pPr>
        <w:jc w:val="both"/>
        <w:rPr>
          <w:rFonts w:eastAsiaTheme="majorEastAsia" w:cs="Arial"/>
          <w:sz w:val="24"/>
          <w:szCs w:val="24"/>
        </w:rPr>
      </w:pPr>
    </w:p>
    <w:p w:rsidR="00544829" w:rsidRDefault="00544829" w:rsidP="002075B2">
      <w:pPr>
        <w:jc w:val="both"/>
        <w:rPr>
          <w:rFonts w:eastAsiaTheme="majorEastAsia" w:cs="Arial"/>
          <w:sz w:val="24"/>
          <w:szCs w:val="24"/>
        </w:rPr>
      </w:pPr>
    </w:p>
    <w:p w:rsidR="00544829" w:rsidRPr="00544829" w:rsidRDefault="00544829" w:rsidP="002075B2">
      <w:pPr>
        <w:jc w:val="both"/>
        <w:rPr>
          <w:rFonts w:eastAsiaTheme="majorEastAsia" w:cs="Arial"/>
          <w:sz w:val="20"/>
          <w:szCs w:val="20"/>
        </w:rPr>
      </w:pPr>
      <w:r w:rsidRPr="00544829">
        <w:rPr>
          <w:rFonts w:eastAsiaTheme="majorEastAsia" w:cs="Arial"/>
          <w:sz w:val="20"/>
          <w:szCs w:val="20"/>
        </w:rPr>
        <w:t xml:space="preserve">1: </w:t>
      </w:r>
      <w:r>
        <w:rPr>
          <w:rFonts w:eastAsiaTheme="majorEastAsia" w:cs="Arial"/>
          <w:sz w:val="20"/>
          <w:szCs w:val="20"/>
        </w:rPr>
        <w:t xml:space="preserve">reference : </w:t>
      </w:r>
      <w:r w:rsidRPr="00544829">
        <w:rPr>
          <w:rFonts w:eastAsiaTheme="majorEastAsia" w:cs="Arial"/>
          <w:sz w:val="20"/>
          <w:szCs w:val="20"/>
        </w:rPr>
        <w:t>http://www.kyuden.co.jp/en_environment_backnumber_action-report00_08.html</w:t>
      </w:r>
    </w:p>
    <w:p w:rsidR="009F7213" w:rsidRDefault="004223F1" w:rsidP="004223F1">
      <w:pPr>
        <w:spacing w:after="0"/>
        <w:jc w:val="center"/>
        <w:outlineLvl w:val="0"/>
        <w:rPr>
          <w:rFonts w:eastAsiaTheme="majorEastAsia" w:cs="Arial"/>
          <w:sz w:val="24"/>
          <w:szCs w:val="24"/>
        </w:rPr>
      </w:pPr>
      <w:r w:rsidRPr="004223F1">
        <w:rPr>
          <w:rFonts w:eastAsiaTheme="majorEastAsia" w:cs="Arial"/>
          <w:noProof/>
          <w:sz w:val="24"/>
          <w:szCs w:val="24"/>
        </w:rPr>
        <w:lastRenderedPageBreak/>
        <w:drawing>
          <wp:inline distT="0" distB="0" distL="0" distR="0">
            <wp:extent cx="3724814" cy="3088257"/>
            <wp:effectExtent l="19050" t="0" r="28036" b="0"/>
            <wp:docPr id="82"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F58" w:rsidRDefault="00D57F58" w:rsidP="004223F1">
      <w:pPr>
        <w:spacing w:after="0"/>
        <w:jc w:val="center"/>
        <w:outlineLvl w:val="0"/>
        <w:rPr>
          <w:rFonts w:eastAsiaTheme="majorEastAsia" w:cs="Arial"/>
          <w:sz w:val="20"/>
          <w:szCs w:val="20"/>
        </w:rPr>
      </w:pPr>
    </w:p>
    <w:p w:rsidR="009F7213" w:rsidRPr="00D46B24" w:rsidRDefault="004223F1" w:rsidP="00D57F58">
      <w:pPr>
        <w:jc w:val="center"/>
        <w:rPr>
          <w:rFonts w:eastAsiaTheme="majorEastAsia" w:cs="Arial"/>
          <w:sz w:val="20"/>
          <w:szCs w:val="20"/>
        </w:rPr>
      </w:pPr>
      <w:r w:rsidRPr="004223F1">
        <w:rPr>
          <w:rFonts w:eastAsiaTheme="majorEastAsia" w:cs="Arial"/>
          <w:sz w:val="20"/>
          <w:szCs w:val="20"/>
        </w:rPr>
        <w:t>Figure (</w:t>
      </w:r>
      <w:r w:rsidR="00D46B24">
        <w:rPr>
          <w:rFonts w:eastAsiaTheme="majorEastAsia" w:cs="Arial"/>
          <w:sz w:val="20"/>
          <w:szCs w:val="20"/>
        </w:rPr>
        <w:t>5</w:t>
      </w:r>
      <w:r w:rsidRPr="004223F1">
        <w:rPr>
          <w:rFonts w:eastAsiaTheme="majorEastAsia" w:cs="Arial"/>
          <w:sz w:val="20"/>
          <w:szCs w:val="20"/>
        </w:rPr>
        <w:t>):</w:t>
      </w:r>
      <w:r w:rsidR="00F72379">
        <w:rPr>
          <w:rFonts w:eastAsiaTheme="majorEastAsia" w:cs="Arial"/>
          <w:sz w:val="20"/>
          <w:szCs w:val="20"/>
        </w:rPr>
        <w:t xml:space="preserve">Supposed </w:t>
      </w:r>
      <w:r w:rsidR="00D46B24">
        <w:rPr>
          <w:rFonts w:eastAsiaTheme="majorEastAsia" w:cs="Arial"/>
          <w:sz w:val="20"/>
          <w:szCs w:val="20"/>
        </w:rPr>
        <w:t>overall CO</w:t>
      </w:r>
      <w:r w:rsidR="00D46B24">
        <w:rPr>
          <w:rFonts w:eastAsiaTheme="majorEastAsia" w:cs="Arial"/>
          <w:sz w:val="20"/>
          <w:szCs w:val="20"/>
          <w:vertAlign w:val="subscript"/>
        </w:rPr>
        <w:t>2</w:t>
      </w:r>
      <w:r w:rsidR="00D46B24">
        <w:rPr>
          <w:rFonts w:eastAsiaTheme="majorEastAsia" w:cs="Arial"/>
          <w:sz w:val="20"/>
          <w:szCs w:val="20"/>
        </w:rPr>
        <w:t xml:space="preserve"> reduction amount per sector</w:t>
      </w:r>
      <w:r w:rsidR="00F72379">
        <w:rPr>
          <w:rFonts w:eastAsiaTheme="majorEastAsia" w:cs="Arial"/>
          <w:sz w:val="20"/>
          <w:szCs w:val="20"/>
        </w:rPr>
        <w:t xml:space="preserve"> after 10 years</w:t>
      </w:r>
    </w:p>
    <w:p w:rsidR="009F7213" w:rsidRDefault="009F7213" w:rsidP="003C4D0E">
      <w:pPr>
        <w:spacing w:after="0"/>
        <w:outlineLvl w:val="0"/>
        <w:rPr>
          <w:rFonts w:eastAsiaTheme="majorEastAsia" w:cs="Arial"/>
          <w:noProof/>
          <w:sz w:val="24"/>
          <w:szCs w:val="24"/>
        </w:rPr>
      </w:pPr>
    </w:p>
    <w:p w:rsidR="004223F1" w:rsidRDefault="004223F1" w:rsidP="004223F1">
      <w:pPr>
        <w:spacing w:after="0"/>
        <w:jc w:val="center"/>
        <w:outlineLvl w:val="0"/>
        <w:rPr>
          <w:rFonts w:eastAsiaTheme="majorEastAsia" w:cs="Arial"/>
          <w:sz w:val="24"/>
          <w:szCs w:val="24"/>
        </w:rPr>
      </w:pPr>
      <w:r w:rsidRPr="004223F1">
        <w:rPr>
          <w:rFonts w:eastAsiaTheme="majorEastAsia" w:cs="Arial"/>
          <w:noProof/>
          <w:sz w:val="24"/>
          <w:szCs w:val="24"/>
        </w:rPr>
        <w:drawing>
          <wp:inline distT="0" distB="0" distL="0" distR="0">
            <wp:extent cx="3733441" cy="2622430"/>
            <wp:effectExtent l="19050" t="0" r="19409" b="6470"/>
            <wp:docPr id="83"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3BBB" w:rsidRPr="00D46B24" w:rsidRDefault="00893BBB" w:rsidP="00D57F58">
      <w:pPr>
        <w:jc w:val="center"/>
        <w:rPr>
          <w:rFonts w:eastAsiaTheme="majorEastAsia" w:cs="Arial"/>
          <w:sz w:val="20"/>
          <w:szCs w:val="20"/>
        </w:rPr>
      </w:pPr>
      <w:r w:rsidRPr="00893BBB">
        <w:rPr>
          <w:rFonts w:eastAsiaTheme="majorEastAsia" w:cs="Arial"/>
          <w:sz w:val="20"/>
          <w:szCs w:val="20"/>
        </w:rPr>
        <w:t>Figure (</w:t>
      </w:r>
      <w:r w:rsidR="00D46B24">
        <w:rPr>
          <w:rFonts w:eastAsiaTheme="majorEastAsia" w:cs="Arial"/>
          <w:sz w:val="20"/>
          <w:szCs w:val="20"/>
        </w:rPr>
        <w:t>5</w:t>
      </w:r>
      <w:r w:rsidRPr="00893BBB">
        <w:rPr>
          <w:rFonts w:eastAsiaTheme="majorEastAsia" w:cs="Arial"/>
          <w:sz w:val="20"/>
          <w:szCs w:val="20"/>
        </w:rPr>
        <w:t>):</w:t>
      </w:r>
      <w:r w:rsidR="00D46B24">
        <w:rPr>
          <w:rFonts w:eastAsiaTheme="majorEastAsia" w:cs="Arial"/>
          <w:sz w:val="20"/>
          <w:szCs w:val="20"/>
        </w:rPr>
        <w:t xml:space="preserve"> CO</w:t>
      </w:r>
      <w:r w:rsidR="00D46B24">
        <w:rPr>
          <w:rFonts w:eastAsiaTheme="majorEastAsia" w:cs="Arial"/>
          <w:sz w:val="20"/>
          <w:szCs w:val="20"/>
          <w:vertAlign w:val="subscript"/>
        </w:rPr>
        <w:t>2</w:t>
      </w:r>
      <w:r w:rsidR="00D46B24">
        <w:rPr>
          <w:rFonts w:eastAsiaTheme="majorEastAsia" w:cs="Arial"/>
          <w:sz w:val="20"/>
          <w:szCs w:val="20"/>
        </w:rPr>
        <w:t xml:space="preserve"> reduction weight per sector</w:t>
      </w:r>
    </w:p>
    <w:p w:rsidR="00893BBB" w:rsidRDefault="00893BBB" w:rsidP="004223F1">
      <w:pPr>
        <w:spacing w:after="0"/>
        <w:jc w:val="center"/>
        <w:outlineLvl w:val="0"/>
        <w:rPr>
          <w:rFonts w:eastAsiaTheme="majorEastAsia" w:cs="Arial"/>
          <w:sz w:val="24"/>
          <w:szCs w:val="24"/>
        </w:rPr>
      </w:pPr>
    </w:p>
    <w:p w:rsidR="00893BBB" w:rsidRPr="00302150" w:rsidRDefault="00893BBB" w:rsidP="004223F1">
      <w:pPr>
        <w:spacing w:after="0"/>
        <w:jc w:val="center"/>
        <w:outlineLvl w:val="0"/>
        <w:rPr>
          <w:rFonts w:eastAsiaTheme="majorEastAsia" w:cs="Arial"/>
          <w:sz w:val="24"/>
          <w:szCs w:val="24"/>
        </w:rPr>
        <w:sectPr w:rsidR="00893BBB" w:rsidRPr="00302150" w:rsidSect="0036265E">
          <w:headerReference w:type="default" r:id="rId18"/>
          <w:footerReference w:type="default" r:id="rId19"/>
          <w:pgSz w:w="12240" w:h="15840"/>
          <w:pgMar w:top="1440" w:right="1440" w:bottom="1440" w:left="1440" w:header="720" w:footer="720" w:gutter="0"/>
          <w:cols w:space="720"/>
          <w:titlePg/>
          <w:docGrid w:linePitch="360"/>
        </w:sectPr>
      </w:pPr>
    </w:p>
    <w:p w:rsidR="00490A70" w:rsidRDefault="00E53B62" w:rsidP="001E5A0B">
      <w:pPr>
        <w:pStyle w:val="ListParagraph"/>
        <w:numPr>
          <w:ilvl w:val="0"/>
          <w:numId w:val="6"/>
        </w:numPr>
        <w:jc w:val="both"/>
        <w:outlineLvl w:val="0"/>
        <w:rPr>
          <w:rFonts w:eastAsiaTheme="majorEastAsia" w:cs="Arial"/>
          <w:b/>
          <w:bCs/>
          <w:color w:val="808080" w:themeColor="background1" w:themeShade="80"/>
          <w:sz w:val="32"/>
          <w:szCs w:val="32"/>
        </w:rPr>
      </w:pPr>
      <w:bookmarkStart w:id="8" w:name="_Toc435736012"/>
      <w:r w:rsidRPr="00E53B62">
        <w:rPr>
          <w:rFonts w:eastAsiaTheme="majorEastAsia" w:cs="Arial"/>
          <w:b/>
          <w:bCs/>
          <w:color w:val="808080" w:themeColor="background1" w:themeShade="80"/>
          <w:sz w:val="32"/>
          <w:szCs w:val="32"/>
        </w:rPr>
        <w:lastRenderedPageBreak/>
        <w:t>Energy Saving Measures Summary</w:t>
      </w:r>
      <w:bookmarkEnd w:id="8"/>
    </w:p>
    <w:p w:rsidR="00385C86" w:rsidRPr="0080662A" w:rsidRDefault="00764612" w:rsidP="002075B2">
      <w:pPr>
        <w:jc w:val="both"/>
        <w:rPr>
          <w:rFonts w:eastAsiaTheme="majorEastAsia" w:cs="Arial"/>
          <w:color w:val="000000" w:themeColor="text1"/>
          <w:sz w:val="24"/>
          <w:szCs w:val="24"/>
        </w:rPr>
      </w:pPr>
      <w:r w:rsidRPr="00764612">
        <w:rPr>
          <w:rFonts w:eastAsiaTheme="majorEastAsia" w:cs="Arial"/>
          <w:color w:val="000000" w:themeColor="text1"/>
          <w:sz w:val="24"/>
          <w:szCs w:val="24"/>
        </w:rPr>
        <w:t xml:space="preserve">Table </w:t>
      </w:r>
      <w:r w:rsidR="00D46B24">
        <w:rPr>
          <w:rFonts w:eastAsiaTheme="majorEastAsia" w:cs="Arial"/>
          <w:color w:val="000000" w:themeColor="text1"/>
          <w:sz w:val="24"/>
          <w:szCs w:val="24"/>
        </w:rPr>
        <w:t>2</w:t>
      </w:r>
      <w:r w:rsidRPr="00764612">
        <w:rPr>
          <w:rFonts w:eastAsiaTheme="majorEastAsia" w:cs="Arial"/>
          <w:color w:val="000000" w:themeColor="text1"/>
          <w:sz w:val="24"/>
          <w:szCs w:val="24"/>
        </w:rPr>
        <w:t xml:space="preserve"> summaries the saving measures that can be implemented for </w:t>
      </w:r>
      <w:r w:rsidR="00AD0E09">
        <w:rPr>
          <w:rFonts w:eastAsiaTheme="majorEastAsia" w:cs="Arial"/>
          <w:color w:val="000000" w:themeColor="text1"/>
          <w:sz w:val="24"/>
          <w:szCs w:val="24"/>
        </w:rPr>
        <w:t>Sahab city</w:t>
      </w:r>
      <w:r w:rsidR="00815D53">
        <w:rPr>
          <w:rFonts w:eastAsiaTheme="majorEastAsia" w:cs="Arial"/>
          <w:color w:val="000000" w:themeColor="text1"/>
          <w:sz w:val="24"/>
          <w:szCs w:val="24"/>
        </w:rPr>
        <w:t xml:space="preserve"> in addition to the implementation</w:t>
      </w:r>
      <w:r w:rsidR="00F72379">
        <w:rPr>
          <w:rFonts w:eastAsiaTheme="majorEastAsia" w:cs="Arial"/>
          <w:color w:val="000000" w:themeColor="text1"/>
          <w:sz w:val="24"/>
          <w:szCs w:val="24"/>
        </w:rPr>
        <w:t>s</w:t>
      </w:r>
      <w:r w:rsidR="00815D53">
        <w:rPr>
          <w:rFonts w:eastAsiaTheme="majorEastAsia" w:cs="Arial"/>
          <w:color w:val="000000" w:themeColor="text1"/>
          <w:sz w:val="24"/>
          <w:szCs w:val="24"/>
        </w:rPr>
        <w:t xml:space="preserve"> duration</w:t>
      </w:r>
      <w:r w:rsidR="0080662A">
        <w:rPr>
          <w:rFonts w:eastAsiaTheme="majorEastAsia" w:cs="Arial"/>
          <w:color w:val="000000" w:themeColor="text1"/>
          <w:sz w:val="24"/>
          <w:szCs w:val="24"/>
        </w:rPr>
        <w:t>, which shows that th</w:t>
      </w:r>
      <w:r w:rsidR="00BF51A9">
        <w:rPr>
          <w:rFonts w:eastAsiaTheme="majorEastAsia" w:cs="Arial"/>
          <w:color w:val="000000" w:themeColor="text1"/>
          <w:sz w:val="24"/>
          <w:szCs w:val="24"/>
        </w:rPr>
        <w:t xml:space="preserve">e main energy saving </w:t>
      </w:r>
      <w:r w:rsidR="003426C8">
        <w:rPr>
          <w:rFonts w:eastAsiaTheme="majorEastAsia" w:cs="Arial"/>
          <w:color w:val="000000" w:themeColor="text1"/>
          <w:sz w:val="24"/>
          <w:szCs w:val="24"/>
        </w:rPr>
        <w:t>take place</w:t>
      </w:r>
      <w:r w:rsidR="00BF51A9">
        <w:rPr>
          <w:rFonts w:eastAsiaTheme="majorEastAsia" w:cs="Arial"/>
          <w:color w:val="000000" w:themeColor="text1"/>
          <w:sz w:val="24"/>
          <w:szCs w:val="24"/>
        </w:rPr>
        <w:t xml:space="preserve"> by </w:t>
      </w:r>
      <w:r w:rsidR="0080662A">
        <w:rPr>
          <w:rFonts w:eastAsiaTheme="majorEastAsia" w:cs="Arial"/>
          <w:color w:val="000000" w:themeColor="text1"/>
          <w:sz w:val="24"/>
          <w:szCs w:val="24"/>
        </w:rPr>
        <w:t xml:space="preserve">utilizing the </w:t>
      </w:r>
      <w:r w:rsidR="00BF51A9">
        <w:rPr>
          <w:rFonts w:eastAsiaTheme="majorEastAsia" w:cs="Arial"/>
          <w:color w:val="000000" w:themeColor="text1"/>
          <w:sz w:val="24"/>
          <w:szCs w:val="24"/>
        </w:rPr>
        <w:t>renewable energy systems</w:t>
      </w:r>
      <w:r w:rsidR="00612607">
        <w:rPr>
          <w:rFonts w:eastAsiaTheme="majorEastAsia" w:cs="Arial"/>
          <w:color w:val="000000" w:themeColor="text1"/>
          <w:sz w:val="24"/>
          <w:szCs w:val="24"/>
        </w:rPr>
        <w:t>;</w:t>
      </w:r>
      <w:r w:rsidR="00012074">
        <w:rPr>
          <w:rFonts w:eastAsiaTheme="majorEastAsia" w:cs="Arial"/>
          <w:color w:val="000000" w:themeColor="text1"/>
          <w:sz w:val="24"/>
          <w:szCs w:val="24"/>
        </w:rPr>
        <w:t>which are</w:t>
      </w:r>
      <w:r w:rsidR="0080662A">
        <w:rPr>
          <w:rFonts w:eastAsiaTheme="majorEastAsia" w:cs="Arial"/>
          <w:color w:val="000000" w:themeColor="text1"/>
          <w:sz w:val="24"/>
          <w:szCs w:val="24"/>
        </w:rPr>
        <w:t>photovoltaic system</w:t>
      </w:r>
      <w:r w:rsidR="00012074">
        <w:rPr>
          <w:rFonts w:eastAsiaTheme="majorEastAsia" w:cs="Arial"/>
          <w:color w:val="000000" w:themeColor="text1"/>
          <w:sz w:val="24"/>
          <w:szCs w:val="24"/>
        </w:rPr>
        <w:t>s</w:t>
      </w:r>
      <w:r w:rsidR="00BF51A9">
        <w:rPr>
          <w:rFonts w:eastAsiaTheme="majorEastAsia" w:cs="Arial"/>
          <w:color w:val="000000" w:themeColor="text1"/>
          <w:sz w:val="24"/>
          <w:szCs w:val="24"/>
        </w:rPr>
        <w:t xml:space="preserve"> and solar thermal systems</w:t>
      </w:r>
      <w:r w:rsidR="0080662A">
        <w:rPr>
          <w:rFonts w:eastAsiaTheme="majorEastAsia" w:cs="Arial"/>
          <w:color w:val="000000" w:themeColor="text1"/>
          <w:sz w:val="24"/>
          <w:szCs w:val="24"/>
        </w:rPr>
        <w:t xml:space="preserve"> with </w:t>
      </w:r>
      <w:r w:rsidR="00BF51A9">
        <w:rPr>
          <w:rFonts w:eastAsiaTheme="majorEastAsia" w:cs="Arial"/>
          <w:color w:val="000000" w:themeColor="text1"/>
          <w:sz w:val="24"/>
          <w:szCs w:val="24"/>
        </w:rPr>
        <w:t>saving of 15</w:t>
      </w:r>
      <w:r w:rsidR="0080662A">
        <w:rPr>
          <w:rFonts w:eastAsiaTheme="majorEastAsia" w:cs="Arial"/>
          <w:color w:val="000000" w:themeColor="text1"/>
          <w:sz w:val="24"/>
          <w:szCs w:val="24"/>
        </w:rPr>
        <w:t>% along the next 10 years period</w:t>
      </w:r>
      <w:r w:rsidRPr="00764612">
        <w:rPr>
          <w:rFonts w:eastAsiaTheme="majorEastAsia" w:cs="Arial"/>
          <w:color w:val="000000" w:themeColor="text1"/>
          <w:sz w:val="24"/>
          <w:szCs w:val="24"/>
        </w:rPr>
        <w:t>.</w:t>
      </w:r>
      <w:r w:rsidR="00BF51A9">
        <w:rPr>
          <w:rFonts w:eastAsiaTheme="majorEastAsia" w:cs="Arial"/>
          <w:color w:val="000000" w:themeColor="text1"/>
          <w:sz w:val="24"/>
          <w:szCs w:val="24"/>
        </w:rPr>
        <w:t xml:space="preserve"> Wh</w:t>
      </w:r>
      <w:r w:rsidR="00612607">
        <w:rPr>
          <w:rFonts w:eastAsiaTheme="majorEastAsia" w:cs="Arial"/>
          <w:color w:val="000000" w:themeColor="text1"/>
          <w:sz w:val="24"/>
          <w:szCs w:val="24"/>
        </w:rPr>
        <w:t>ere</w:t>
      </w:r>
      <w:r w:rsidR="002075B2">
        <w:rPr>
          <w:rFonts w:eastAsiaTheme="majorEastAsia" w:cs="Arial"/>
          <w:color w:val="000000" w:themeColor="text1"/>
          <w:sz w:val="24"/>
          <w:szCs w:val="24"/>
        </w:rPr>
        <w:t>as,</w:t>
      </w:r>
      <w:r w:rsidR="00654E01">
        <w:rPr>
          <w:rFonts w:eastAsiaTheme="majorEastAsia" w:cs="Arial"/>
          <w:color w:val="000000" w:themeColor="text1"/>
          <w:sz w:val="24"/>
          <w:szCs w:val="24"/>
        </w:rPr>
        <w:t xml:space="preserve">the remaining saving </w:t>
      </w:r>
      <w:r w:rsidR="003426C8">
        <w:rPr>
          <w:rFonts w:eastAsiaTheme="majorEastAsia" w:cs="Arial"/>
          <w:color w:val="000000" w:themeColor="text1"/>
          <w:sz w:val="24"/>
          <w:szCs w:val="24"/>
        </w:rPr>
        <w:t>is due to</w:t>
      </w:r>
      <w:r w:rsidR="00654E01">
        <w:rPr>
          <w:rFonts w:eastAsiaTheme="majorEastAsia" w:cs="Arial"/>
          <w:color w:val="000000" w:themeColor="text1"/>
          <w:sz w:val="24"/>
          <w:szCs w:val="24"/>
        </w:rPr>
        <w:t xml:space="preserve"> replacing the </w:t>
      </w:r>
      <w:r w:rsidR="002075B2">
        <w:rPr>
          <w:rFonts w:eastAsiaTheme="majorEastAsia" w:cs="Arial"/>
          <w:color w:val="000000" w:themeColor="text1"/>
          <w:sz w:val="24"/>
          <w:szCs w:val="24"/>
        </w:rPr>
        <w:t>in</w:t>
      </w:r>
      <w:bookmarkStart w:id="9" w:name="_GoBack"/>
      <w:bookmarkEnd w:id="9"/>
      <w:r w:rsidR="00654E01">
        <w:rPr>
          <w:rFonts w:eastAsiaTheme="majorEastAsia" w:cs="Arial"/>
          <w:color w:val="000000" w:themeColor="text1"/>
          <w:sz w:val="24"/>
          <w:szCs w:val="24"/>
        </w:rPr>
        <w:t xml:space="preserve">efficient lightings with efficient ones in parallel to installing motion sensors in the buildings and facilities </w:t>
      </w:r>
      <w:r w:rsidR="003426C8">
        <w:rPr>
          <w:rFonts w:eastAsiaTheme="majorEastAsia" w:cs="Arial"/>
          <w:color w:val="000000" w:themeColor="text1"/>
          <w:sz w:val="24"/>
          <w:szCs w:val="24"/>
        </w:rPr>
        <w:t xml:space="preserve">in order </w:t>
      </w:r>
      <w:r w:rsidR="00654E01">
        <w:rPr>
          <w:rFonts w:eastAsiaTheme="majorEastAsia" w:cs="Arial"/>
          <w:color w:val="000000" w:themeColor="text1"/>
          <w:sz w:val="24"/>
          <w:szCs w:val="24"/>
        </w:rPr>
        <w:t>to reduce the lighting operating hours and energy consumptions</w:t>
      </w:r>
      <w:r w:rsidR="003426C8">
        <w:rPr>
          <w:rFonts w:eastAsiaTheme="majorEastAsia" w:cs="Arial"/>
          <w:color w:val="000000" w:themeColor="text1"/>
          <w:sz w:val="24"/>
          <w:szCs w:val="24"/>
        </w:rPr>
        <w:t>,</w:t>
      </w:r>
      <w:r w:rsidR="00654E01">
        <w:rPr>
          <w:rFonts w:eastAsiaTheme="majorEastAsia" w:cs="Arial"/>
          <w:color w:val="000000" w:themeColor="text1"/>
          <w:sz w:val="24"/>
          <w:szCs w:val="24"/>
        </w:rPr>
        <w:t xml:space="preserve"> with saving of 5% along the strategy period.</w:t>
      </w:r>
    </w:p>
    <w:p w:rsidR="006A5D28" w:rsidRPr="00385C86" w:rsidRDefault="00D46B24" w:rsidP="00012074">
      <w:pPr>
        <w:spacing w:after="0"/>
        <w:ind w:left="-180"/>
        <w:jc w:val="center"/>
      </w:pPr>
      <w:r>
        <w:t>Table (2</w:t>
      </w:r>
      <w:r w:rsidR="00764612" w:rsidRPr="00385C86">
        <w:t xml:space="preserve">): Summary of Energy saving measure for </w:t>
      </w:r>
      <w:r w:rsidR="00012074">
        <w:t>Sahab City</w:t>
      </w:r>
    </w:p>
    <w:tbl>
      <w:tblPr>
        <w:tblW w:w="14800" w:type="dxa"/>
        <w:jc w:val="center"/>
        <w:tblInd w:w="94" w:type="dxa"/>
        <w:tblLook w:val="04A0"/>
      </w:tblPr>
      <w:tblGrid>
        <w:gridCol w:w="518"/>
        <w:gridCol w:w="3380"/>
        <w:gridCol w:w="1562"/>
        <w:gridCol w:w="1700"/>
        <w:gridCol w:w="764"/>
        <w:gridCol w:w="764"/>
        <w:gridCol w:w="764"/>
        <w:gridCol w:w="764"/>
        <w:gridCol w:w="764"/>
        <w:gridCol w:w="764"/>
        <w:gridCol w:w="764"/>
        <w:gridCol w:w="764"/>
        <w:gridCol w:w="764"/>
        <w:gridCol w:w="764"/>
      </w:tblGrid>
      <w:tr w:rsidR="00873006" w:rsidRPr="00873006" w:rsidTr="00873006">
        <w:trPr>
          <w:trHeight w:val="765"/>
          <w:jc w:val="center"/>
        </w:trPr>
        <w:tc>
          <w:tcPr>
            <w:tcW w:w="52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No.</w:t>
            </w:r>
          </w:p>
        </w:tc>
        <w:tc>
          <w:tcPr>
            <w:tcW w:w="382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Saving Measure</w:t>
            </w:r>
          </w:p>
        </w:tc>
        <w:tc>
          <w:tcPr>
            <w:tcW w:w="142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Implementation period</w:t>
            </w:r>
          </w:p>
        </w:tc>
        <w:tc>
          <w:tcPr>
            <w:tcW w:w="170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Expected savings in energy consumption (%)</w:t>
            </w:r>
          </w:p>
        </w:tc>
        <w:tc>
          <w:tcPr>
            <w:tcW w:w="64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2016</w:t>
            </w:r>
          </w:p>
        </w:tc>
        <w:tc>
          <w:tcPr>
            <w:tcW w:w="62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2017</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2018</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2019</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2020</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2021</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2022</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2023</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2024</w:t>
            </w:r>
          </w:p>
        </w:tc>
        <w:tc>
          <w:tcPr>
            <w:tcW w:w="760" w:type="dxa"/>
            <w:tcBorders>
              <w:top w:val="single" w:sz="4" w:space="0" w:color="auto"/>
              <w:left w:val="nil"/>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2025</w:t>
            </w:r>
          </w:p>
        </w:tc>
      </w:tr>
      <w:tr w:rsidR="00873006" w:rsidRPr="00873006" w:rsidTr="00873006">
        <w:trPr>
          <w:trHeight w:val="300"/>
          <w:jc w:val="center"/>
        </w:trPr>
        <w:tc>
          <w:tcPr>
            <w:tcW w:w="520" w:type="dxa"/>
            <w:tcBorders>
              <w:top w:val="nil"/>
              <w:left w:val="single" w:sz="4" w:space="0" w:color="auto"/>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1</w:t>
            </w:r>
          </w:p>
        </w:tc>
        <w:tc>
          <w:tcPr>
            <w:tcW w:w="3820" w:type="dxa"/>
            <w:tcBorders>
              <w:top w:val="nil"/>
              <w:left w:val="nil"/>
              <w:bottom w:val="single" w:sz="4" w:space="0" w:color="auto"/>
              <w:right w:val="single" w:sz="4" w:space="0" w:color="auto"/>
            </w:tcBorders>
            <w:shd w:val="clear" w:color="auto" w:fill="auto"/>
            <w:vAlign w:val="center"/>
            <w:hideMark/>
          </w:tcPr>
          <w:p w:rsidR="00873006" w:rsidRPr="00873006" w:rsidRDefault="00873006" w:rsidP="00873006">
            <w:pPr>
              <w:spacing w:after="0" w:line="240" w:lineRule="auto"/>
              <w:rPr>
                <w:rFonts w:ascii="Calibri" w:eastAsia="Times New Roman" w:hAnsi="Calibri" w:cs="Calibri"/>
                <w:color w:val="000000"/>
              </w:rPr>
            </w:pPr>
            <w:r w:rsidRPr="00873006">
              <w:rPr>
                <w:rFonts w:ascii="Calibri" w:eastAsia="Times New Roman" w:hAnsi="Calibri" w:cs="Calibri"/>
                <w:color w:val="000000"/>
              </w:rPr>
              <w:t>Installing Energy Efficient lighting units</w:t>
            </w:r>
          </w:p>
        </w:tc>
        <w:tc>
          <w:tcPr>
            <w:tcW w:w="142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2016-202</w:t>
            </w:r>
            <w:r>
              <w:rPr>
                <w:rFonts w:ascii="Calibri" w:eastAsia="Times New Roman" w:hAnsi="Calibri" w:cs="Calibri"/>
                <w:color w:val="000000"/>
              </w:rPr>
              <w:t>3</w:t>
            </w:r>
          </w:p>
        </w:tc>
        <w:tc>
          <w:tcPr>
            <w:tcW w:w="170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4.00%</w:t>
            </w:r>
          </w:p>
        </w:tc>
        <w:tc>
          <w:tcPr>
            <w:tcW w:w="64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0.50%</w:t>
            </w:r>
          </w:p>
        </w:tc>
        <w:tc>
          <w:tcPr>
            <w:tcW w:w="62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0.60%</w:t>
            </w:r>
          </w:p>
        </w:tc>
        <w:tc>
          <w:tcPr>
            <w:tcW w:w="76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0.65%</w:t>
            </w:r>
          </w:p>
        </w:tc>
        <w:tc>
          <w:tcPr>
            <w:tcW w:w="76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0.65%</w:t>
            </w:r>
          </w:p>
        </w:tc>
        <w:tc>
          <w:tcPr>
            <w:tcW w:w="76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0.50%</w:t>
            </w:r>
          </w:p>
        </w:tc>
        <w:tc>
          <w:tcPr>
            <w:tcW w:w="76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0.40%</w:t>
            </w:r>
          </w:p>
        </w:tc>
        <w:tc>
          <w:tcPr>
            <w:tcW w:w="76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0.40%</w:t>
            </w:r>
          </w:p>
        </w:tc>
        <w:tc>
          <w:tcPr>
            <w:tcW w:w="760" w:type="dxa"/>
            <w:tcBorders>
              <w:top w:val="nil"/>
              <w:left w:val="nil"/>
              <w:bottom w:val="single" w:sz="4" w:space="0" w:color="auto"/>
              <w:right w:val="single" w:sz="4" w:space="0" w:color="auto"/>
            </w:tcBorders>
            <w:shd w:val="clear" w:color="000000" w:fill="FDE9D9"/>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0.30%</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r>
      <w:tr w:rsidR="00873006" w:rsidRPr="00873006" w:rsidTr="00873006">
        <w:trPr>
          <w:trHeight w:val="300"/>
          <w:jc w:val="center"/>
        </w:trPr>
        <w:tc>
          <w:tcPr>
            <w:tcW w:w="520" w:type="dxa"/>
            <w:tcBorders>
              <w:top w:val="nil"/>
              <w:left w:val="single" w:sz="4" w:space="0" w:color="auto"/>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2</w:t>
            </w:r>
          </w:p>
        </w:tc>
        <w:tc>
          <w:tcPr>
            <w:tcW w:w="3820" w:type="dxa"/>
            <w:tcBorders>
              <w:top w:val="nil"/>
              <w:left w:val="nil"/>
              <w:bottom w:val="single" w:sz="4" w:space="0" w:color="auto"/>
              <w:right w:val="single" w:sz="4" w:space="0" w:color="auto"/>
            </w:tcBorders>
            <w:shd w:val="clear" w:color="auto" w:fill="auto"/>
            <w:vAlign w:val="center"/>
            <w:hideMark/>
          </w:tcPr>
          <w:p w:rsidR="00873006" w:rsidRPr="00873006" w:rsidRDefault="00873006" w:rsidP="00873006">
            <w:pPr>
              <w:spacing w:after="0" w:line="240" w:lineRule="auto"/>
              <w:rPr>
                <w:rFonts w:ascii="Calibri" w:eastAsia="Times New Roman" w:hAnsi="Calibri" w:cs="Calibri"/>
                <w:color w:val="000000"/>
              </w:rPr>
            </w:pPr>
            <w:r w:rsidRPr="00873006">
              <w:rPr>
                <w:rFonts w:ascii="Calibri" w:eastAsia="Times New Roman" w:hAnsi="Calibri" w:cs="Calibri"/>
                <w:color w:val="000000"/>
              </w:rPr>
              <w:t>Installing Motion Sensors</w:t>
            </w:r>
          </w:p>
        </w:tc>
        <w:tc>
          <w:tcPr>
            <w:tcW w:w="142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2016-2020</w:t>
            </w:r>
          </w:p>
        </w:tc>
        <w:tc>
          <w:tcPr>
            <w:tcW w:w="170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1.00%</w:t>
            </w:r>
          </w:p>
        </w:tc>
        <w:tc>
          <w:tcPr>
            <w:tcW w:w="640" w:type="dxa"/>
            <w:tcBorders>
              <w:top w:val="nil"/>
              <w:left w:val="nil"/>
              <w:bottom w:val="single" w:sz="4" w:space="0" w:color="auto"/>
              <w:right w:val="single" w:sz="4" w:space="0" w:color="auto"/>
            </w:tcBorders>
            <w:shd w:val="clear" w:color="000000" w:fill="FCD5B4"/>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620" w:type="dxa"/>
            <w:tcBorders>
              <w:top w:val="nil"/>
              <w:left w:val="nil"/>
              <w:bottom w:val="single" w:sz="4" w:space="0" w:color="auto"/>
              <w:right w:val="single" w:sz="4" w:space="0" w:color="auto"/>
            </w:tcBorders>
            <w:shd w:val="clear" w:color="000000" w:fill="FCD5B4"/>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760" w:type="dxa"/>
            <w:tcBorders>
              <w:top w:val="nil"/>
              <w:left w:val="nil"/>
              <w:bottom w:val="single" w:sz="4" w:space="0" w:color="auto"/>
              <w:right w:val="single" w:sz="4" w:space="0" w:color="auto"/>
            </w:tcBorders>
            <w:shd w:val="clear" w:color="000000" w:fill="FCD5B4"/>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760" w:type="dxa"/>
            <w:tcBorders>
              <w:top w:val="nil"/>
              <w:left w:val="nil"/>
              <w:bottom w:val="single" w:sz="4" w:space="0" w:color="auto"/>
              <w:right w:val="single" w:sz="4" w:space="0" w:color="auto"/>
            </w:tcBorders>
            <w:shd w:val="clear" w:color="000000" w:fill="FCD5B4"/>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760" w:type="dxa"/>
            <w:tcBorders>
              <w:top w:val="nil"/>
              <w:left w:val="nil"/>
              <w:bottom w:val="single" w:sz="4" w:space="0" w:color="auto"/>
              <w:right w:val="single" w:sz="4" w:space="0" w:color="auto"/>
            </w:tcBorders>
            <w:shd w:val="clear" w:color="000000" w:fill="FCD5B4"/>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r>
      <w:tr w:rsidR="00873006" w:rsidRPr="00873006" w:rsidTr="00873006">
        <w:trPr>
          <w:trHeight w:val="600"/>
          <w:jc w:val="center"/>
        </w:trPr>
        <w:tc>
          <w:tcPr>
            <w:tcW w:w="520" w:type="dxa"/>
            <w:tcBorders>
              <w:top w:val="nil"/>
              <w:left w:val="single" w:sz="4" w:space="0" w:color="auto"/>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3</w:t>
            </w:r>
          </w:p>
        </w:tc>
        <w:tc>
          <w:tcPr>
            <w:tcW w:w="3820" w:type="dxa"/>
            <w:tcBorders>
              <w:top w:val="nil"/>
              <w:left w:val="nil"/>
              <w:bottom w:val="single" w:sz="4" w:space="0" w:color="auto"/>
              <w:right w:val="single" w:sz="4" w:space="0" w:color="auto"/>
            </w:tcBorders>
            <w:shd w:val="clear" w:color="auto" w:fill="auto"/>
            <w:vAlign w:val="center"/>
            <w:hideMark/>
          </w:tcPr>
          <w:p w:rsidR="00873006" w:rsidRPr="00873006" w:rsidRDefault="00873006" w:rsidP="00873006">
            <w:pPr>
              <w:spacing w:after="0" w:line="240" w:lineRule="auto"/>
              <w:rPr>
                <w:rFonts w:ascii="Calibri" w:eastAsia="Times New Roman" w:hAnsi="Calibri" w:cs="Calibri"/>
                <w:color w:val="000000"/>
              </w:rPr>
            </w:pPr>
            <w:r w:rsidRPr="00873006">
              <w:rPr>
                <w:rFonts w:ascii="Calibri" w:eastAsia="Times New Roman" w:hAnsi="Calibri" w:cs="Calibri"/>
                <w:color w:val="000000"/>
              </w:rPr>
              <w:t>Installing Solar Water Heaters instead of the electric heaters</w:t>
            </w:r>
          </w:p>
        </w:tc>
        <w:tc>
          <w:tcPr>
            <w:tcW w:w="142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2016-2025</w:t>
            </w:r>
          </w:p>
        </w:tc>
        <w:tc>
          <w:tcPr>
            <w:tcW w:w="170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2.00%</w:t>
            </w:r>
          </w:p>
        </w:tc>
        <w:tc>
          <w:tcPr>
            <w:tcW w:w="64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0.10%</w:t>
            </w:r>
          </w:p>
        </w:tc>
        <w:tc>
          <w:tcPr>
            <w:tcW w:w="62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0.10%</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0.15%</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0.15%</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0.20%</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0.17%</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0.30%</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0.32%</w:t>
            </w:r>
          </w:p>
        </w:tc>
        <w:tc>
          <w:tcPr>
            <w:tcW w:w="760" w:type="dxa"/>
            <w:tcBorders>
              <w:top w:val="nil"/>
              <w:left w:val="nil"/>
              <w:bottom w:val="single" w:sz="4" w:space="0" w:color="auto"/>
              <w:right w:val="single" w:sz="4" w:space="0" w:color="auto"/>
            </w:tcBorders>
            <w:shd w:val="clear" w:color="000000" w:fill="E5E0EC"/>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0.32%</w:t>
            </w:r>
          </w:p>
        </w:tc>
      </w:tr>
      <w:tr w:rsidR="00873006" w:rsidRPr="00873006" w:rsidTr="00873006">
        <w:trPr>
          <w:trHeight w:val="600"/>
          <w:jc w:val="center"/>
        </w:trPr>
        <w:tc>
          <w:tcPr>
            <w:tcW w:w="520" w:type="dxa"/>
            <w:tcBorders>
              <w:top w:val="nil"/>
              <w:left w:val="single" w:sz="4" w:space="0" w:color="auto"/>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4</w:t>
            </w:r>
          </w:p>
        </w:tc>
        <w:tc>
          <w:tcPr>
            <w:tcW w:w="3820" w:type="dxa"/>
            <w:tcBorders>
              <w:top w:val="nil"/>
              <w:left w:val="nil"/>
              <w:bottom w:val="single" w:sz="4" w:space="0" w:color="auto"/>
              <w:right w:val="single" w:sz="4" w:space="0" w:color="auto"/>
            </w:tcBorders>
            <w:shd w:val="clear" w:color="auto" w:fill="auto"/>
            <w:vAlign w:val="center"/>
            <w:hideMark/>
          </w:tcPr>
          <w:p w:rsidR="00873006" w:rsidRPr="00873006" w:rsidRDefault="00873006" w:rsidP="00873006">
            <w:pPr>
              <w:spacing w:after="0" w:line="240" w:lineRule="auto"/>
              <w:rPr>
                <w:rFonts w:ascii="Calibri" w:eastAsia="Times New Roman" w:hAnsi="Calibri" w:cs="Calibri"/>
                <w:color w:val="000000"/>
              </w:rPr>
            </w:pPr>
            <w:r w:rsidRPr="00873006">
              <w:rPr>
                <w:rFonts w:ascii="Calibri" w:eastAsia="Times New Roman" w:hAnsi="Calibri" w:cs="Calibri"/>
                <w:color w:val="000000"/>
              </w:rPr>
              <w:t>Installing Photovoltaic Panels to generate electricity</w:t>
            </w:r>
          </w:p>
        </w:tc>
        <w:tc>
          <w:tcPr>
            <w:tcW w:w="142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2015-2025</w:t>
            </w:r>
          </w:p>
        </w:tc>
        <w:tc>
          <w:tcPr>
            <w:tcW w:w="170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13.00%</w:t>
            </w:r>
          </w:p>
        </w:tc>
        <w:tc>
          <w:tcPr>
            <w:tcW w:w="64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0.70%</w:t>
            </w:r>
          </w:p>
        </w:tc>
        <w:tc>
          <w:tcPr>
            <w:tcW w:w="62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0.60%</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0.80%</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0.80%</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0.92%</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1.63%</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1.63%</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1.80%</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2.03%</w:t>
            </w:r>
          </w:p>
        </w:tc>
        <w:tc>
          <w:tcPr>
            <w:tcW w:w="760" w:type="dxa"/>
            <w:tcBorders>
              <w:top w:val="nil"/>
              <w:left w:val="nil"/>
              <w:bottom w:val="single" w:sz="4" w:space="0" w:color="auto"/>
              <w:right w:val="single" w:sz="4" w:space="0" w:color="auto"/>
            </w:tcBorders>
            <w:shd w:val="clear" w:color="000000" w:fill="B2A1C7"/>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2.09%</w:t>
            </w:r>
          </w:p>
        </w:tc>
      </w:tr>
      <w:tr w:rsidR="00873006" w:rsidRPr="00873006" w:rsidTr="00873006">
        <w:trPr>
          <w:trHeight w:val="300"/>
          <w:jc w:val="center"/>
        </w:trPr>
        <w:tc>
          <w:tcPr>
            <w:tcW w:w="520" w:type="dxa"/>
            <w:tcBorders>
              <w:top w:val="nil"/>
              <w:left w:val="single" w:sz="4" w:space="0" w:color="auto"/>
              <w:bottom w:val="single" w:sz="4" w:space="0" w:color="auto"/>
              <w:right w:val="single" w:sz="4" w:space="0" w:color="auto"/>
            </w:tcBorders>
            <w:shd w:val="clear" w:color="000000" w:fill="4F81BD"/>
            <w:vAlign w:val="center"/>
            <w:hideMark/>
          </w:tcPr>
          <w:p w:rsidR="00873006" w:rsidRPr="00873006" w:rsidRDefault="00873006" w:rsidP="00873006">
            <w:pPr>
              <w:spacing w:after="0" w:line="240" w:lineRule="auto"/>
              <w:jc w:val="center"/>
              <w:rPr>
                <w:rFonts w:ascii="Calibri" w:eastAsia="Times New Roman" w:hAnsi="Calibri" w:cs="Calibri"/>
                <w:b/>
                <w:bCs/>
                <w:color w:val="FFFFFF"/>
                <w:sz w:val="20"/>
                <w:szCs w:val="20"/>
              </w:rPr>
            </w:pPr>
            <w:r w:rsidRPr="00873006">
              <w:rPr>
                <w:rFonts w:ascii="Calibri" w:eastAsia="Times New Roman" w:hAnsi="Calibri" w:cs="Calibri"/>
                <w:b/>
                <w:bCs/>
                <w:color w:val="FFFFFF"/>
                <w:sz w:val="20"/>
                <w:szCs w:val="20"/>
              </w:rPr>
              <w:t> </w:t>
            </w:r>
          </w:p>
        </w:tc>
        <w:tc>
          <w:tcPr>
            <w:tcW w:w="3820" w:type="dxa"/>
            <w:tcBorders>
              <w:top w:val="nil"/>
              <w:left w:val="nil"/>
              <w:bottom w:val="single" w:sz="4" w:space="0" w:color="auto"/>
              <w:right w:val="single" w:sz="4" w:space="0" w:color="auto"/>
            </w:tcBorders>
            <w:shd w:val="clear" w:color="auto" w:fill="auto"/>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rsidR="00873006" w:rsidRPr="00873006" w:rsidRDefault="00873006" w:rsidP="00873006">
            <w:pPr>
              <w:spacing w:after="0" w:line="240" w:lineRule="auto"/>
              <w:jc w:val="center"/>
              <w:rPr>
                <w:rFonts w:ascii="Calibri" w:eastAsia="Times New Roman" w:hAnsi="Calibri" w:cs="Calibri"/>
                <w:color w:val="000000"/>
              </w:rPr>
            </w:pPr>
            <w:r w:rsidRPr="00873006">
              <w:rPr>
                <w:rFonts w:ascii="Calibri" w:eastAsia="Times New Roman" w:hAnsi="Calibri" w:cs="Calibri"/>
                <w:color w:val="000000"/>
              </w:rPr>
              <w:t>20.00%</w:t>
            </w:r>
          </w:p>
        </w:tc>
        <w:tc>
          <w:tcPr>
            <w:tcW w:w="64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1.50%</w:t>
            </w:r>
          </w:p>
        </w:tc>
        <w:tc>
          <w:tcPr>
            <w:tcW w:w="62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1.50%</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1.80%</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1.80%</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1.82%</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2.23%</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2.20%</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2.40%</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2.35%</w:t>
            </w:r>
          </w:p>
        </w:tc>
        <w:tc>
          <w:tcPr>
            <w:tcW w:w="760" w:type="dxa"/>
            <w:tcBorders>
              <w:top w:val="nil"/>
              <w:left w:val="nil"/>
              <w:bottom w:val="single" w:sz="4" w:space="0" w:color="auto"/>
              <w:right w:val="single" w:sz="4" w:space="0" w:color="auto"/>
            </w:tcBorders>
            <w:shd w:val="clear" w:color="auto" w:fill="auto"/>
            <w:noWrap/>
            <w:vAlign w:val="bottom"/>
            <w:hideMark/>
          </w:tcPr>
          <w:p w:rsidR="00873006" w:rsidRPr="00873006" w:rsidRDefault="00873006" w:rsidP="00873006">
            <w:pPr>
              <w:spacing w:after="0" w:line="240" w:lineRule="auto"/>
              <w:jc w:val="right"/>
              <w:rPr>
                <w:rFonts w:ascii="Calibri" w:eastAsia="Times New Roman" w:hAnsi="Calibri" w:cs="Calibri"/>
                <w:color w:val="000000"/>
              </w:rPr>
            </w:pPr>
            <w:r w:rsidRPr="00873006">
              <w:rPr>
                <w:rFonts w:ascii="Calibri" w:eastAsia="Times New Roman" w:hAnsi="Calibri" w:cs="Calibri"/>
                <w:color w:val="000000"/>
              </w:rPr>
              <w:t>2.41%</w:t>
            </w:r>
          </w:p>
        </w:tc>
      </w:tr>
    </w:tbl>
    <w:p w:rsidR="00790580" w:rsidRPr="00267458" w:rsidRDefault="00790580" w:rsidP="008B65BD">
      <w:pPr>
        <w:jc w:val="both"/>
        <w:outlineLvl w:val="0"/>
        <w:rPr>
          <w:rFonts w:eastAsiaTheme="majorEastAsia" w:cs="Arial"/>
          <w:b/>
          <w:bCs/>
          <w:color w:val="808080" w:themeColor="background1" w:themeShade="80"/>
          <w:sz w:val="24"/>
          <w:szCs w:val="24"/>
        </w:rPr>
      </w:pPr>
    </w:p>
    <w:p w:rsidR="00815DC4" w:rsidRDefault="00815DC4" w:rsidP="00267458">
      <w:pPr>
        <w:outlineLvl w:val="0"/>
        <w:rPr>
          <w:rFonts w:eastAsiaTheme="majorEastAsia" w:cs="Arial"/>
          <w:sz w:val="24"/>
          <w:szCs w:val="24"/>
        </w:rPr>
      </w:pPr>
    </w:p>
    <w:p w:rsidR="00815DC4" w:rsidRDefault="00815DC4" w:rsidP="00267458">
      <w:pPr>
        <w:outlineLvl w:val="0"/>
        <w:rPr>
          <w:rFonts w:eastAsiaTheme="majorEastAsia" w:cs="Arial"/>
          <w:sz w:val="24"/>
          <w:szCs w:val="24"/>
        </w:rPr>
      </w:pPr>
    </w:p>
    <w:p w:rsidR="00CE3400" w:rsidRDefault="00CE3400" w:rsidP="00267458">
      <w:pPr>
        <w:outlineLvl w:val="0"/>
        <w:rPr>
          <w:rFonts w:eastAsiaTheme="majorEastAsia" w:cs="Arial"/>
          <w:sz w:val="24"/>
          <w:szCs w:val="24"/>
        </w:rPr>
        <w:sectPr w:rsidR="00CE3400" w:rsidSect="00CE3400">
          <w:pgSz w:w="15840" w:h="12240" w:orient="landscape" w:code="1"/>
          <w:pgMar w:top="1440" w:right="1440" w:bottom="1440" w:left="1440" w:header="720" w:footer="720" w:gutter="0"/>
          <w:cols w:space="720"/>
          <w:docGrid w:linePitch="360"/>
        </w:sectPr>
      </w:pPr>
    </w:p>
    <w:p w:rsidR="00CE3400" w:rsidRDefault="00CE3400" w:rsidP="00012074">
      <w:pPr>
        <w:jc w:val="both"/>
        <w:rPr>
          <w:rFonts w:eastAsiaTheme="majorEastAsia" w:cs="Arial"/>
          <w:sz w:val="24"/>
          <w:szCs w:val="24"/>
        </w:rPr>
      </w:pPr>
      <w:r w:rsidRPr="00790580">
        <w:rPr>
          <w:rFonts w:eastAsiaTheme="majorEastAsia" w:cs="Arial"/>
          <w:sz w:val="24"/>
          <w:szCs w:val="24"/>
        </w:rPr>
        <w:lastRenderedPageBreak/>
        <w:t xml:space="preserve">Figure </w:t>
      </w:r>
      <w:r w:rsidR="00012074">
        <w:rPr>
          <w:rFonts w:eastAsiaTheme="majorEastAsia" w:cs="Arial"/>
          <w:sz w:val="24"/>
          <w:szCs w:val="24"/>
        </w:rPr>
        <w:t>6</w:t>
      </w:r>
      <w:r>
        <w:rPr>
          <w:rFonts w:eastAsiaTheme="majorEastAsia" w:cs="Arial"/>
          <w:sz w:val="24"/>
          <w:szCs w:val="24"/>
        </w:rPr>
        <w:t xml:space="preserve">and </w:t>
      </w:r>
      <w:r w:rsidR="00012074">
        <w:rPr>
          <w:rFonts w:eastAsiaTheme="majorEastAsia" w:cs="Arial"/>
          <w:sz w:val="24"/>
          <w:szCs w:val="24"/>
        </w:rPr>
        <w:t>7</w:t>
      </w:r>
      <w:r>
        <w:rPr>
          <w:rFonts w:eastAsiaTheme="majorEastAsia" w:cs="Arial"/>
          <w:sz w:val="24"/>
          <w:szCs w:val="24"/>
        </w:rPr>
        <w:t xml:space="preserve"> summarize </w:t>
      </w:r>
      <w:r w:rsidRPr="00790580">
        <w:rPr>
          <w:rFonts w:eastAsiaTheme="majorEastAsia" w:cs="Arial"/>
          <w:sz w:val="24"/>
          <w:szCs w:val="24"/>
        </w:rPr>
        <w:t>all recommended saving</w:t>
      </w:r>
      <w:r>
        <w:rPr>
          <w:rFonts w:eastAsiaTheme="majorEastAsia" w:cs="Arial"/>
          <w:sz w:val="24"/>
          <w:szCs w:val="24"/>
        </w:rPr>
        <w:t xml:space="preserve"> measures with its saving </w:t>
      </w:r>
      <w:r w:rsidR="00BA44DF">
        <w:rPr>
          <w:rFonts w:eastAsiaTheme="majorEastAsia" w:cs="Arial"/>
          <w:sz w:val="24"/>
          <w:szCs w:val="24"/>
        </w:rPr>
        <w:t>weight</w:t>
      </w:r>
      <w:r>
        <w:rPr>
          <w:rFonts w:eastAsiaTheme="majorEastAsia" w:cs="Arial"/>
          <w:sz w:val="24"/>
          <w:szCs w:val="24"/>
        </w:rPr>
        <w:t xml:space="preserve"> through the next 10 years.</w:t>
      </w:r>
    </w:p>
    <w:p w:rsidR="00790580" w:rsidRDefault="006F3BD3" w:rsidP="0096545E">
      <w:pPr>
        <w:ind w:left="-360"/>
        <w:jc w:val="center"/>
        <w:outlineLvl w:val="0"/>
        <w:rPr>
          <w:rFonts w:eastAsiaTheme="majorEastAsia" w:cs="Arial"/>
          <w:sz w:val="24"/>
          <w:szCs w:val="24"/>
        </w:rPr>
      </w:pPr>
      <w:r>
        <w:rPr>
          <w:rFonts w:eastAsiaTheme="majorEastAsia" w:cs="Arial"/>
          <w:noProof/>
          <w:sz w:val="24"/>
          <w:szCs w:val="24"/>
        </w:rPr>
        <w:drawing>
          <wp:inline distT="0" distB="0" distL="0" distR="0">
            <wp:extent cx="6409409" cy="4371911"/>
            <wp:effectExtent l="19050" t="0" r="0" b="0"/>
            <wp:docPr id="9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6416302" cy="4376613"/>
                    </a:xfrm>
                    <a:prstGeom prst="rect">
                      <a:avLst/>
                    </a:prstGeom>
                    <a:noFill/>
                  </pic:spPr>
                </pic:pic>
              </a:graphicData>
            </a:graphic>
          </wp:inline>
        </w:drawing>
      </w:r>
    </w:p>
    <w:p w:rsidR="00815DC4" w:rsidRPr="00A237E7" w:rsidRDefault="00815DC4" w:rsidP="00D97B98">
      <w:pPr>
        <w:jc w:val="center"/>
        <w:rPr>
          <w:rFonts w:eastAsiaTheme="majorEastAsia" w:cs="Arial"/>
          <w:sz w:val="24"/>
          <w:szCs w:val="24"/>
        </w:rPr>
      </w:pPr>
      <w:r>
        <w:rPr>
          <w:rFonts w:eastAsiaTheme="majorEastAsia" w:cs="Arial"/>
          <w:sz w:val="24"/>
          <w:szCs w:val="24"/>
        </w:rPr>
        <w:t xml:space="preserve">Figure </w:t>
      </w:r>
      <w:r w:rsidR="00D97B98">
        <w:rPr>
          <w:rFonts w:eastAsiaTheme="majorEastAsia" w:cs="Arial"/>
          <w:sz w:val="24"/>
          <w:szCs w:val="24"/>
        </w:rPr>
        <w:t>6</w:t>
      </w:r>
      <w:r>
        <w:rPr>
          <w:rFonts w:eastAsiaTheme="majorEastAsia" w:cs="Arial"/>
          <w:sz w:val="24"/>
          <w:szCs w:val="24"/>
        </w:rPr>
        <w:t>: Energy saving measures distribution based on the saving weight</w:t>
      </w:r>
    </w:p>
    <w:p w:rsidR="00790580" w:rsidRDefault="0096545E" w:rsidP="0096545E">
      <w:pPr>
        <w:spacing w:after="0"/>
        <w:ind w:left="-540"/>
        <w:jc w:val="center"/>
        <w:outlineLvl w:val="0"/>
        <w:rPr>
          <w:rFonts w:eastAsiaTheme="majorEastAsia" w:cs="Arial"/>
          <w:b/>
          <w:bCs/>
          <w:color w:val="808080" w:themeColor="background1" w:themeShade="80"/>
          <w:sz w:val="32"/>
          <w:szCs w:val="32"/>
        </w:rPr>
      </w:pPr>
      <w:r w:rsidRPr="0096545E">
        <w:rPr>
          <w:rFonts w:eastAsiaTheme="majorEastAsia" w:cs="Arial"/>
          <w:b/>
          <w:bCs/>
          <w:noProof/>
          <w:color w:val="808080" w:themeColor="background1" w:themeShade="80"/>
          <w:sz w:val="32"/>
          <w:szCs w:val="32"/>
        </w:rPr>
        <w:lastRenderedPageBreak/>
        <w:drawing>
          <wp:inline distT="0" distB="0" distL="0" distR="0">
            <wp:extent cx="6675049" cy="6930558"/>
            <wp:effectExtent l="19050" t="0" r="11501" b="3642"/>
            <wp:docPr id="9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712B" w:rsidRPr="003270BF" w:rsidRDefault="00815DC4" w:rsidP="00D97B98">
      <w:pPr>
        <w:spacing w:after="0"/>
        <w:jc w:val="center"/>
        <w:rPr>
          <w:rFonts w:eastAsiaTheme="majorEastAsia" w:cs="Arial"/>
        </w:rPr>
      </w:pPr>
      <w:r w:rsidRPr="00EB6602">
        <w:rPr>
          <w:rFonts w:eastAsiaTheme="majorEastAsia" w:cs="Arial"/>
          <w:sz w:val="20"/>
          <w:szCs w:val="20"/>
        </w:rPr>
        <w:t xml:space="preserve">Figure </w:t>
      </w:r>
      <w:r w:rsidR="00D97B98">
        <w:rPr>
          <w:rFonts w:eastAsiaTheme="majorEastAsia" w:cs="Arial"/>
          <w:sz w:val="20"/>
          <w:szCs w:val="20"/>
        </w:rPr>
        <w:t>7</w:t>
      </w:r>
      <w:r w:rsidRPr="00EB6602">
        <w:rPr>
          <w:rFonts w:eastAsiaTheme="majorEastAsia" w:cs="Arial"/>
          <w:sz w:val="20"/>
          <w:szCs w:val="20"/>
        </w:rPr>
        <w:t xml:space="preserve">: </w:t>
      </w:r>
      <w:r w:rsidR="00612607">
        <w:rPr>
          <w:rFonts w:eastAsiaTheme="majorEastAsia" w:cs="Arial"/>
          <w:sz w:val="20"/>
          <w:szCs w:val="20"/>
        </w:rPr>
        <w:t xml:space="preserve">The proposed </w:t>
      </w:r>
      <w:r w:rsidRPr="00EB6602">
        <w:rPr>
          <w:rFonts w:eastAsiaTheme="majorEastAsia" w:cs="Arial"/>
          <w:sz w:val="20"/>
          <w:szCs w:val="20"/>
        </w:rPr>
        <w:t>amount of energy saving in kWh through the next 10 years</w:t>
      </w:r>
    </w:p>
    <w:p w:rsidR="00EE2E28" w:rsidRPr="00E866BC" w:rsidRDefault="00EE2E28" w:rsidP="007040DE">
      <w:pPr>
        <w:pStyle w:val="ListParagraph"/>
        <w:numPr>
          <w:ilvl w:val="0"/>
          <w:numId w:val="6"/>
        </w:numPr>
        <w:jc w:val="both"/>
        <w:outlineLvl w:val="0"/>
        <w:rPr>
          <w:rFonts w:eastAsiaTheme="majorEastAsia" w:cs="Arial"/>
          <w:b/>
          <w:bCs/>
          <w:color w:val="808080" w:themeColor="background1" w:themeShade="80"/>
          <w:sz w:val="28"/>
          <w:szCs w:val="28"/>
        </w:rPr>
      </w:pPr>
      <w:bookmarkStart w:id="10" w:name="_Toc435736013"/>
      <w:r w:rsidRPr="00E866BC">
        <w:rPr>
          <w:rFonts w:eastAsiaTheme="majorEastAsia" w:cs="Arial"/>
          <w:b/>
          <w:bCs/>
          <w:color w:val="808080" w:themeColor="background1" w:themeShade="80"/>
          <w:sz w:val="28"/>
          <w:szCs w:val="28"/>
        </w:rPr>
        <w:lastRenderedPageBreak/>
        <w:t>Detailed description of the saving measures</w:t>
      </w:r>
      <w:bookmarkEnd w:id="10"/>
    </w:p>
    <w:p w:rsidR="00614847" w:rsidRDefault="00385891" w:rsidP="00D97B98">
      <w:pPr>
        <w:jc w:val="both"/>
        <w:rPr>
          <w:rFonts w:eastAsiaTheme="majorEastAsia" w:cs="Arial"/>
          <w:color w:val="000000" w:themeColor="text1"/>
          <w:sz w:val="24"/>
          <w:szCs w:val="24"/>
        </w:rPr>
      </w:pPr>
      <w:r w:rsidRPr="00385891">
        <w:rPr>
          <w:rFonts w:eastAsiaTheme="majorEastAsia" w:cs="Arial"/>
          <w:color w:val="000000" w:themeColor="text1"/>
          <w:sz w:val="24"/>
          <w:szCs w:val="24"/>
        </w:rPr>
        <w:t xml:space="preserve">Table </w:t>
      </w:r>
      <w:r w:rsidR="00D97B98">
        <w:rPr>
          <w:rFonts w:eastAsiaTheme="majorEastAsia" w:cs="Arial"/>
          <w:color w:val="000000" w:themeColor="text1"/>
          <w:sz w:val="24"/>
          <w:szCs w:val="24"/>
        </w:rPr>
        <w:t>3</w:t>
      </w:r>
      <w:r w:rsidRPr="00385891">
        <w:rPr>
          <w:rFonts w:eastAsiaTheme="majorEastAsia" w:cs="Arial"/>
          <w:color w:val="000000" w:themeColor="text1"/>
          <w:sz w:val="24"/>
          <w:szCs w:val="24"/>
        </w:rPr>
        <w:t xml:space="preserve"> shows th</w:t>
      </w:r>
      <w:r>
        <w:rPr>
          <w:rFonts w:eastAsiaTheme="majorEastAsia" w:cs="Arial"/>
          <w:color w:val="000000" w:themeColor="text1"/>
          <w:sz w:val="24"/>
          <w:szCs w:val="24"/>
        </w:rPr>
        <w:t>e technical and financial details of th</w:t>
      </w:r>
      <w:r w:rsidR="00007DAF">
        <w:rPr>
          <w:rFonts w:eastAsiaTheme="majorEastAsia" w:cs="Arial"/>
          <w:color w:val="000000" w:themeColor="text1"/>
          <w:sz w:val="24"/>
          <w:szCs w:val="24"/>
        </w:rPr>
        <w:t xml:space="preserve">e </w:t>
      </w:r>
      <w:r w:rsidR="002B62B4">
        <w:rPr>
          <w:rFonts w:eastAsiaTheme="majorEastAsia" w:cs="Arial"/>
          <w:color w:val="000000" w:themeColor="text1"/>
          <w:sz w:val="24"/>
          <w:szCs w:val="24"/>
        </w:rPr>
        <w:t xml:space="preserve">recommended </w:t>
      </w:r>
      <w:r w:rsidR="00007DAF">
        <w:rPr>
          <w:rFonts w:eastAsiaTheme="majorEastAsia" w:cs="Arial"/>
          <w:color w:val="000000" w:themeColor="text1"/>
          <w:sz w:val="24"/>
          <w:szCs w:val="24"/>
        </w:rPr>
        <w:t>energy saving measures for Sahab City</w:t>
      </w:r>
      <w:r>
        <w:rPr>
          <w:rFonts w:eastAsiaTheme="majorEastAsia" w:cs="Arial"/>
          <w:color w:val="000000" w:themeColor="text1"/>
          <w:sz w:val="24"/>
          <w:szCs w:val="24"/>
        </w:rPr>
        <w:t>.</w:t>
      </w:r>
    </w:p>
    <w:p w:rsidR="004C6A67" w:rsidRDefault="004C6A67" w:rsidP="00643A47">
      <w:pPr>
        <w:spacing w:after="0"/>
        <w:jc w:val="center"/>
        <w:rPr>
          <w:rFonts w:eastAsiaTheme="majorEastAsia" w:cs="Arial"/>
          <w:color w:val="000000" w:themeColor="text1"/>
          <w:sz w:val="20"/>
          <w:szCs w:val="20"/>
        </w:rPr>
      </w:pPr>
    </w:p>
    <w:p w:rsidR="00016E72" w:rsidRPr="00016E72" w:rsidRDefault="00D97B98" w:rsidP="00654E01">
      <w:pPr>
        <w:spacing w:after="0"/>
        <w:jc w:val="center"/>
        <w:rPr>
          <w:rFonts w:eastAsiaTheme="majorEastAsia" w:cs="Arial"/>
          <w:color w:val="000000" w:themeColor="text1"/>
          <w:sz w:val="20"/>
          <w:szCs w:val="20"/>
        </w:rPr>
      </w:pPr>
      <w:r>
        <w:rPr>
          <w:rFonts w:eastAsiaTheme="majorEastAsia" w:cs="Arial"/>
          <w:color w:val="000000" w:themeColor="text1"/>
          <w:sz w:val="20"/>
          <w:szCs w:val="20"/>
        </w:rPr>
        <w:t>Table (3</w:t>
      </w:r>
      <w:r w:rsidR="00016E72" w:rsidRPr="00016E72">
        <w:rPr>
          <w:rFonts w:eastAsiaTheme="majorEastAsia" w:cs="Arial"/>
          <w:color w:val="000000" w:themeColor="text1"/>
          <w:sz w:val="20"/>
          <w:szCs w:val="20"/>
        </w:rPr>
        <w:t xml:space="preserve">): Energy saving measures details for </w:t>
      </w:r>
      <w:r w:rsidR="00654E01">
        <w:rPr>
          <w:rFonts w:eastAsiaTheme="majorEastAsia" w:cs="Arial"/>
          <w:color w:val="000000" w:themeColor="text1"/>
          <w:sz w:val="20"/>
          <w:szCs w:val="20"/>
        </w:rPr>
        <w:t>Sahab City</w:t>
      </w:r>
    </w:p>
    <w:tbl>
      <w:tblPr>
        <w:tblW w:w="9300" w:type="dxa"/>
        <w:tblInd w:w="94" w:type="dxa"/>
        <w:tblLook w:val="04A0"/>
      </w:tblPr>
      <w:tblGrid>
        <w:gridCol w:w="4020"/>
        <w:gridCol w:w="5280"/>
      </w:tblGrid>
      <w:tr w:rsidR="00F167DE" w:rsidRPr="00F167DE" w:rsidTr="00F167DE">
        <w:trPr>
          <w:trHeight w:val="315"/>
        </w:trPr>
        <w:tc>
          <w:tcPr>
            <w:tcW w:w="4020" w:type="dxa"/>
            <w:tcBorders>
              <w:top w:val="single" w:sz="8" w:space="0" w:color="538ED5"/>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Saving Measure</w:t>
            </w:r>
          </w:p>
        </w:tc>
        <w:tc>
          <w:tcPr>
            <w:tcW w:w="5280" w:type="dxa"/>
            <w:tcBorders>
              <w:top w:val="single" w:sz="8" w:space="0" w:color="538ED5"/>
              <w:left w:val="nil"/>
              <w:bottom w:val="single" w:sz="8" w:space="0" w:color="538ED5"/>
              <w:right w:val="nil"/>
            </w:tcBorders>
            <w:shd w:val="clear" w:color="000000" w:fill="31849B"/>
            <w:vAlign w:val="center"/>
            <w:hideMark/>
          </w:tcPr>
          <w:p w:rsidR="00F167DE" w:rsidRPr="00F167DE" w:rsidRDefault="00F167DE" w:rsidP="00F167DE">
            <w:pPr>
              <w:spacing w:after="0" w:line="240" w:lineRule="auto"/>
              <w:jc w:val="center"/>
              <w:rPr>
                <w:rFonts w:ascii="Calibri" w:eastAsia="Times New Roman" w:hAnsi="Calibri" w:cs="Calibri"/>
                <w:b/>
                <w:bCs/>
                <w:color w:val="FFFFFF"/>
              </w:rPr>
            </w:pPr>
            <w:r w:rsidRPr="00F167DE">
              <w:rPr>
                <w:rFonts w:ascii="Calibri" w:eastAsia="Times New Roman" w:hAnsi="Calibri" w:cs="Calibri"/>
                <w:b/>
                <w:bCs/>
                <w:color w:val="FFFFFF"/>
              </w:rPr>
              <w:t> Installing Energy Efficient lighting units</w:t>
            </w:r>
          </w:p>
        </w:tc>
      </w:tr>
      <w:tr w:rsidR="00F167DE" w:rsidRPr="00F167DE" w:rsidTr="00F167D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Measure Target</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 xml:space="preserve">  Reducing the overall energy consumption by </w:t>
            </w:r>
            <w:r>
              <w:rPr>
                <w:rFonts w:ascii="Calibri" w:eastAsia="Times New Roman" w:hAnsi="Calibri" w:cs="Calibri"/>
                <w:color w:val="000000"/>
              </w:rPr>
              <w:t>4</w:t>
            </w:r>
            <w:r w:rsidRPr="00F167DE">
              <w:rPr>
                <w:rFonts w:ascii="Calibri" w:eastAsia="Times New Roman" w:hAnsi="Calibri" w:cs="Calibri"/>
                <w:color w:val="000000"/>
              </w:rPr>
              <w:t>%</w:t>
            </w:r>
          </w:p>
        </w:tc>
      </w:tr>
      <w:tr w:rsidR="00F167DE" w:rsidRPr="00F167DE" w:rsidTr="00F167DE">
        <w:trPr>
          <w:trHeight w:val="40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 xml:space="preserve">Measure description </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 xml:space="preserve"> Replacing all non</w:t>
            </w:r>
            <w:r>
              <w:rPr>
                <w:rFonts w:ascii="Calibri" w:eastAsia="Times New Roman" w:hAnsi="Calibri" w:cs="Calibri"/>
                <w:color w:val="000000"/>
              </w:rPr>
              <w:t>-</w:t>
            </w:r>
            <w:r w:rsidRPr="00F167DE">
              <w:rPr>
                <w:rFonts w:ascii="Calibri" w:eastAsia="Times New Roman" w:hAnsi="Calibri" w:cs="Calibri"/>
                <w:color w:val="000000"/>
              </w:rPr>
              <w:t>efficient lamps with Efficient Lamps</w:t>
            </w:r>
          </w:p>
        </w:tc>
      </w:tr>
      <w:tr w:rsidR="00F167DE" w:rsidRPr="00F167DE" w:rsidTr="00F167DE">
        <w:trPr>
          <w:trHeight w:val="34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2B0632" w:rsidP="00F167DE">
            <w:pPr>
              <w:spacing w:after="0" w:line="240" w:lineRule="auto"/>
              <w:rPr>
                <w:rFonts w:ascii="Calibri" w:eastAsia="Times New Roman" w:hAnsi="Calibri" w:cs="Calibri"/>
                <w:b/>
                <w:bCs/>
                <w:color w:val="FFFFFF"/>
              </w:rPr>
            </w:pPr>
            <w:r>
              <w:rPr>
                <w:rFonts w:ascii="Calibri" w:eastAsia="Times New Roman" w:hAnsi="Calibri" w:cs="Calibri"/>
                <w:b/>
                <w:bCs/>
                <w:color w:val="FFFFFF"/>
              </w:rPr>
              <w:t xml:space="preserve">Overall </w:t>
            </w:r>
            <w:r w:rsidR="00F167DE" w:rsidRPr="00F167DE">
              <w:rPr>
                <w:rFonts w:ascii="Calibri" w:eastAsia="Times New Roman" w:hAnsi="Calibri" w:cs="Calibri"/>
                <w:b/>
                <w:bCs/>
                <w:color w:val="FFFFFF"/>
              </w:rPr>
              <w:t>Energy Saving (kWh/year)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1,533,752</w:t>
            </w:r>
          </w:p>
        </w:tc>
      </w:tr>
      <w:tr w:rsidR="00F167DE" w:rsidRPr="00F167DE" w:rsidTr="006F3BD3">
        <w:trPr>
          <w:trHeight w:val="349"/>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Responsible for implementation</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 xml:space="preserve">Sahab Municipality </w:t>
            </w:r>
          </w:p>
        </w:tc>
      </w:tr>
      <w:tr w:rsidR="00F167DE" w:rsidRPr="00F167DE" w:rsidTr="006F3BD3">
        <w:trPr>
          <w:trHeight w:val="349"/>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Period of implementation (Years)</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8 Years</w:t>
            </w:r>
          </w:p>
        </w:tc>
      </w:tr>
      <w:tr w:rsidR="00F167DE" w:rsidRPr="00F167DE" w:rsidTr="00F167DE">
        <w:trPr>
          <w:trHeight w:val="34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Cost of  energy unit reduction (JOD/kWh)</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0.6351</w:t>
            </w:r>
          </w:p>
        </w:tc>
      </w:tr>
      <w:tr w:rsidR="00F167DE" w:rsidRPr="00F167DE" w:rsidTr="00F167D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Total Investment Cost (JD)</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974,043</w:t>
            </w:r>
          </w:p>
        </w:tc>
      </w:tr>
      <w:tr w:rsidR="00F167DE" w:rsidRPr="00F167DE" w:rsidTr="00F167DE">
        <w:trPr>
          <w:trHeight w:val="39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[First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121,755</w:t>
            </w:r>
          </w:p>
        </w:tc>
      </w:tr>
      <w:tr w:rsidR="00F167DE" w:rsidRPr="00F167DE" w:rsidTr="00F167DE">
        <w:trPr>
          <w:trHeight w:val="46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[Second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146,106</w:t>
            </w:r>
          </w:p>
        </w:tc>
      </w:tr>
      <w:tr w:rsidR="00F167DE" w:rsidRPr="00F167DE" w:rsidTr="00F167DE">
        <w:trPr>
          <w:trHeight w:val="43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[Third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158,282</w:t>
            </w:r>
          </w:p>
        </w:tc>
      </w:tr>
      <w:tr w:rsidR="00F167DE" w:rsidRPr="00F167DE" w:rsidTr="00F167DE">
        <w:trPr>
          <w:trHeight w:val="40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[Fourth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158,282</w:t>
            </w:r>
          </w:p>
        </w:tc>
      </w:tr>
      <w:tr w:rsidR="00F167DE" w:rsidRPr="00F167DE" w:rsidTr="00F167DE">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[Fifth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121,755</w:t>
            </w:r>
          </w:p>
        </w:tc>
      </w:tr>
      <w:tr w:rsidR="00F167DE" w:rsidRPr="00F167DE" w:rsidTr="00F167DE">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[Sixth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97,404</w:t>
            </w:r>
          </w:p>
        </w:tc>
      </w:tr>
      <w:tr w:rsidR="00F167DE" w:rsidRPr="00F167DE" w:rsidTr="00F167DE">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[Seventh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97,404</w:t>
            </w:r>
          </w:p>
        </w:tc>
      </w:tr>
      <w:tr w:rsidR="00F167DE" w:rsidRPr="00F167DE" w:rsidTr="00F167DE">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Investment Cost (JD/Year) [Eighth year]</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73,053</w:t>
            </w:r>
          </w:p>
        </w:tc>
      </w:tr>
      <w:tr w:rsidR="00F167DE" w:rsidRPr="00F167DE" w:rsidTr="00F167DE">
        <w:trPr>
          <w:trHeight w:val="37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Source of Funding</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  Ministry of Energy and Mineral Resources Funds/ EU Funds</w:t>
            </w:r>
          </w:p>
        </w:tc>
      </w:tr>
      <w:tr w:rsidR="00F167DE" w:rsidRPr="00F167DE" w:rsidTr="00F167DE">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Needed Awareness</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  Workshops, Brochures, SMS,  Social Media</w:t>
            </w:r>
          </w:p>
        </w:tc>
      </w:tr>
      <w:tr w:rsidR="00F167DE" w:rsidRPr="00F167DE" w:rsidTr="00F167DE">
        <w:trPr>
          <w:trHeight w:val="345"/>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Implementing agency</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  Local or International suppliers</w:t>
            </w:r>
          </w:p>
        </w:tc>
      </w:tr>
      <w:tr w:rsidR="00F167DE" w:rsidRPr="00F167DE" w:rsidTr="00F167DE">
        <w:trPr>
          <w:trHeight w:val="660"/>
        </w:trPr>
        <w:tc>
          <w:tcPr>
            <w:tcW w:w="4020" w:type="dxa"/>
            <w:tcBorders>
              <w:top w:val="nil"/>
              <w:left w:val="nil"/>
              <w:bottom w:val="single" w:sz="8" w:space="0" w:color="538ED5"/>
              <w:right w:val="single" w:sz="8" w:space="0" w:color="538ED5"/>
            </w:tcBorders>
            <w:shd w:val="clear" w:color="000000" w:fill="31849B"/>
            <w:vAlign w:val="center"/>
            <w:hideMark/>
          </w:tcPr>
          <w:p w:rsidR="00F167DE" w:rsidRPr="00F167DE" w:rsidRDefault="00F167DE" w:rsidP="00F167DE">
            <w:pPr>
              <w:spacing w:after="0" w:line="240" w:lineRule="auto"/>
              <w:rPr>
                <w:rFonts w:ascii="Calibri" w:eastAsia="Times New Roman" w:hAnsi="Calibri" w:cs="Calibri"/>
                <w:b/>
                <w:bCs/>
                <w:color w:val="FFFFFF"/>
              </w:rPr>
            </w:pPr>
            <w:r w:rsidRPr="00F167DE">
              <w:rPr>
                <w:rFonts w:ascii="Calibri" w:eastAsia="Times New Roman" w:hAnsi="Calibri" w:cs="Calibri"/>
                <w:b/>
                <w:bCs/>
                <w:color w:val="FFFFFF"/>
              </w:rPr>
              <w:t>Description the mechanism of monitoring and evaluation</w:t>
            </w:r>
          </w:p>
        </w:tc>
        <w:tc>
          <w:tcPr>
            <w:tcW w:w="5280" w:type="dxa"/>
            <w:tcBorders>
              <w:top w:val="nil"/>
              <w:left w:val="nil"/>
              <w:bottom w:val="single" w:sz="8" w:space="0" w:color="538ED5"/>
              <w:right w:val="nil"/>
            </w:tcBorders>
            <w:shd w:val="clear" w:color="auto" w:fill="auto"/>
            <w:vAlign w:val="center"/>
            <w:hideMark/>
          </w:tcPr>
          <w:p w:rsidR="00F167DE" w:rsidRPr="00F167DE" w:rsidRDefault="00F167DE" w:rsidP="00F167DE">
            <w:pPr>
              <w:spacing w:after="0" w:line="240" w:lineRule="auto"/>
              <w:jc w:val="center"/>
              <w:rPr>
                <w:rFonts w:ascii="Calibri" w:eastAsia="Times New Roman" w:hAnsi="Calibri" w:cs="Calibri"/>
                <w:color w:val="000000"/>
              </w:rPr>
            </w:pPr>
            <w:r w:rsidRPr="00F167DE">
              <w:rPr>
                <w:rFonts w:ascii="Calibri" w:eastAsia="Times New Roman" w:hAnsi="Calibri" w:cs="Calibri"/>
                <w:color w:val="000000"/>
              </w:rPr>
              <w:t>Periodic verification and monitoring for the desired energy saving by special committe</w:t>
            </w:r>
            <w:r>
              <w:rPr>
                <w:rFonts w:ascii="Calibri" w:eastAsia="Times New Roman" w:hAnsi="Calibri" w:cs="Calibri"/>
                <w:color w:val="000000"/>
              </w:rPr>
              <w:t>e</w:t>
            </w:r>
            <w:r w:rsidRPr="00F167DE">
              <w:rPr>
                <w:rFonts w:ascii="Calibri" w:eastAsia="Times New Roman" w:hAnsi="Calibri" w:cs="Calibri"/>
                <w:color w:val="000000"/>
              </w:rPr>
              <w:t>s</w:t>
            </w:r>
          </w:p>
        </w:tc>
      </w:tr>
    </w:tbl>
    <w:p w:rsidR="00490A70" w:rsidRPr="00AB52B8" w:rsidRDefault="00490A70" w:rsidP="00614847">
      <w:pPr>
        <w:jc w:val="both"/>
        <w:rPr>
          <w:b/>
          <w:bCs/>
          <w:sz w:val="28"/>
          <w:szCs w:val="28"/>
          <w:u w:val="single"/>
        </w:rPr>
      </w:pPr>
    </w:p>
    <w:p w:rsidR="00696EFC" w:rsidRDefault="00696EFC" w:rsidP="00614847">
      <w:pPr>
        <w:jc w:val="both"/>
        <w:rPr>
          <w:b/>
          <w:bCs/>
          <w:sz w:val="28"/>
          <w:szCs w:val="28"/>
          <w:u w:val="single"/>
        </w:rPr>
      </w:pPr>
    </w:p>
    <w:tbl>
      <w:tblPr>
        <w:tblW w:w="9300" w:type="dxa"/>
        <w:tblInd w:w="94" w:type="dxa"/>
        <w:tblLook w:val="04A0"/>
      </w:tblPr>
      <w:tblGrid>
        <w:gridCol w:w="4020"/>
        <w:gridCol w:w="5280"/>
      </w:tblGrid>
      <w:tr w:rsidR="00036A7E" w:rsidRPr="00036A7E" w:rsidTr="00036A7E">
        <w:trPr>
          <w:trHeight w:val="315"/>
        </w:trPr>
        <w:tc>
          <w:tcPr>
            <w:tcW w:w="4020" w:type="dxa"/>
            <w:tcBorders>
              <w:top w:val="single" w:sz="8" w:space="0" w:color="538ED5"/>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lastRenderedPageBreak/>
              <w:t>Saving Measure</w:t>
            </w:r>
          </w:p>
        </w:tc>
        <w:tc>
          <w:tcPr>
            <w:tcW w:w="5280" w:type="dxa"/>
            <w:tcBorders>
              <w:top w:val="single" w:sz="8" w:space="0" w:color="538ED5"/>
              <w:left w:val="nil"/>
              <w:bottom w:val="single" w:sz="8" w:space="0" w:color="538ED5"/>
              <w:right w:val="nil"/>
            </w:tcBorders>
            <w:shd w:val="clear" w:color="000000" w:fill="31849B"/>
            <w:vAlign w:val="center"/>
            <w:hideMark/>
          </w:tcPr>
          <w:p w:rsidR="00036A7E" w:rsidRPr="00036A7E" w:rsidRDefault="00036A7E" w:rsidP="00036A7E">
            <w:pPr>
              <w:spacing w:after="0" w:line="240" w:lineRule="auto"/>
              <w:jc w:val="center"/>
              <w:rPr>
                <w:rFonts w:ascii="Calibri" w:eastAsia="Times New Roman" w:hAnsi="Calibri" w:cs="Calibri"/>
                <w:b/>
                <w:bCs/>
                <w:color w:val="FFFFFF"/>
              </w:rPr>
            </w:pPr>
            <w:r w:rsidRPr="00036A7E">
              <w:rPr>
                <w:rFonts w:ascii="Calibri" w:eastAsia="Times New Roman" w:hAnsi="Calibri" w:cs="Calibri"/>
                <w:b/>
                <w:bCs/>
                <w:color w:val="FFFFFF"/>
              </w:rPr>
              <w:t>Installing motion sensors</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Measure Target</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Reducing the overall energy consumption by 1.0%</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 xml:space="preserve">Measure description </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 xml:space="preserve">Use motion sensors in </w:t>
            </w:r>
            <w:r>
              <w:rPr>
                <w:rFonts w:ascii="Calibri" w:eastAsia="Times New Roman" w:hAnsi="Calibri" w:cs="Calibri"/>
                <w:color w:val="000000"/>
              </w:rPr>
              <w:t>buildings and  faci</w:t>
            </w:r>
            <w:r w:rsidRPr="00036A7E">
              <w:rPr>
                <w:rFonts w:ascii="Calibri" w:eastAsia="Times New Roman" w:hAnsi="Calibri" w:cs="Calibri"/>
                <w:color w:val="000000"/>
              </w:rPr>
              <w:t>lities for decreasing energy consumption</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2B0632" w:rsidP="00036A7E">
            <w:pPr>
              <w:spacing w:after="0" w:line="240" w:lineRule="auto"/>
              <w:rPr>
                <w:rFonts w:ascii="Calibri" w:eastAsia="Times New Roman" w:hAnsi="Calibri" w:cs="Calibri"/>
                <w:b/>
                <w:bCs/>
                <w:color w:val="FFFFFF"/>
              </w:rPr>
            </w:pPr>
            <w:r>
              <w:rPr>
                <w:rFonts w:ascii="Calibri" w:eastAsia="Times New Roman" w:hAnsi="Calibri" w:cs="Calibri"/>
                <w:b/>
                <w:bCs/>
                <w:color w:val="FFFFFF"/>
              </w:rPr>
              <w:t xml:space="preserve">Overall </w:t>
            </w:r>
            <w:r w:rsidR="00036A7E" w:rsidRPr="00036A7E">
              <w:rPr>
                <w:rFonts w:ascii="Calibri" w:eastAsia="Times New Roman" w:hAnsi="Calibri" w:cs="Calibri"/>
                <w:b/>
                <w:bCs/>
                <w:color w:val="FFFFFF"/>
              </w:rPr>
              <w:t>Energy Saving (kWh/year)</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383,438</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Responsible for implementation</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Sahab Municipal</w:t>
            </w:r>
            <w:r>
              <w:rPr>
                <w:rFonts w:ascii="Calibri" w:eastAsia="Times New Roman" w:hAnsi="Calibri" w:cs="Calibri"/>
                <w:color w:val="000000"/>
              </w:rPr>
              <w:t>ity</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Period of implementation (Years)</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5 Years</w:t>
            </w:r>
          </w:p>
        </w:tc>
      </w:tr>
      <w:tr w:rsidR="00036A7E" w:rsidRPr="00036A7E" w:rsidTr="00036A7E">
        <w:trPr>
          <w:trHeight w:val="40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Cost of  energy unit reduction (JOD/kWh)</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0.5358</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Total Investment Cost (JD)</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205,456</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Investment Cost (JD/Year) [First year]</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41,091</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Investment Cost (JD/Year) [Second year]</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41,091</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Investment Cost (JD/Year) [Third year]</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41,091</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Investment Cost (JD/Year) [Fourth year]</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41,091</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Investment Cost (JD/Year) [Fifth year]</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41,091</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Source of Funding</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  Ministry of Energy and Mineral Resources / EU Funds</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Needed Awareness</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  Workshops, Brochures, SMS,  Social Media</w:t>
            </w:r>
          </w:p>
        </w:tc>
      </w:tr>
      <w:tr w:rsidR="00036A7E" w:rsidRPr="00036A7E" w:rsidTr="00036A7E">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Implementing agency</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  Local or International suppliers</w:t>
            </w:r>
          </w:p>
        </w:tc>
      </w:tr>
      <w:tr w:rsidR="00036A7E" w:rsidRPr="00036A7E" w:rsidTr="00036A7E">
        <w:trPr>
          <w:trHeight w:val="615"/>
        </w:trPr>
        <w:tc>
          <w:tcPr>
            <w:tcW w:w="4020" w:type="dxa"/>
            <w:tcBorders>
              <w:top w:val="nil"/>
              <w:left w:val="nil"/>
              <w:bottom w:val="single" w:sz="8" w:space="0" w:color="538ED5"/>
              <w:right w:val="single" w:sz="8" w:space="0" w:color="538ED5"/>
            </w:tcBorders>
            <w:shd w:val="clear" w:color="000000" w:fill="31849B"/>
            <w:vAlign w:val="center"/>
            <w:hideMark/>
          </w:tcPr>
          <w:p w:rsidR="00036A7E" w:rsidRPr="00036A7E" w:rsidRDefault="00036A7E" w:rsidP="00036A7E">
            <w:pPr>
              <w:spacing w:after="0" w:line="240" w:lineRule="auto"/>
              <w:rPr>
                <w:rFonts w:ascii="Calibri" w:eastAsia="Times New Roman" w:hAnsi="Calibri" w:cs="Calibri"/>
                <w:b/>
                <w:bCs/>
                <w:color w:val="FFFFFF"/>
              </w:rPr>
            </w:pPr>
            <w:r w:rsidRPr="00036A7E">
              <w:rPr>
                <w:rFonts w:ascii="Calibri" w:eastAsia="Times New Roman" w:hAnsi="Calibri" w:cs="Calibri"/>
                <w:b/>
                <w:bCs/>
                <w:color w:val="FFFFFF"/>
              </w:rPr>
              <w:t>Description the mechanism of monitoring and evaluation</w:t>
            </w:r>
          </w:p>
        </w:tc>
        <w:tc>
          <w:tcPr>
            <w:tcW w:w="5280" w:type="dxa"/>
            <w:tcBorders>
              <w:top w:val="nil"/>
              <w:left w:val="nil"/>
              <w:bottom w:val="single" w:sz="8" w:space="0" w:color="538ED5"/>
              <w:right w:val="nil"/>
            </w:tcBorders>
            <w:shd w:val="clear" w:color="auto" w:fill="auto"/>
            <w:vAlign w:val="center"/>
            <w:hideMark/>
          </w:tcPr>
          <w:p w:rsidR="00036A7E" w:rsidRPr="00036A7E" w:rsidRDefault="00036A7E" w:rsidP="00036A7E">
            <w:pPr>
              <w:spacing w:after="0" w:line="240" w:lineRule="auto"/>
              <w:jc w:val="center"/>
              <w:rPr>
                <w:rFonts w:ascii="Calibri" w:eastAsia="Times New Roman" w:hAnsi="Calibri" w:cs="Calibri"/>
                <w:color w:val="000000"/>
              </w:rPr>
            </w:pPr>
            <w:r w:rsidRPr="00036A7E">
              <w:rPr>
                <w:rFonts w:ascii="Calibri" w:eastAsia="Times New Roman" w:hAnsi="Calibri" w:cs="Calibri"/>
                <w:color w:val="000000"/>
              </w:rPr>
              <w:t>Periodic verification and monitoring for the desired energy saving by special committe</w:t>
            </w:r>
            <w:r>
              <w:rPr>
                <w:rFonts w:ascii="Calibri" w:eastAsia="Times New Roman" w:hAnsi="Calibri" w:cs="Calibri"/>
                <w:color w:val="000000"/>
              </w:rPr>
              <w:t>e</w:t>
            </w:r>
            <w:r w:rsidRPr="00036A7E">
              <w:rPr>
                <w:rFonts w:ascii="Calibri" w:eastAsia="Times New Roman" w:hAnsi="Calibri" w:cs="Calibri"/>
                <w:color w:val="000000"/>
              </w:rPr>
              <w:t>s</w:t>
            </w:r>
          </w:p>
        </w:tc>
      </w:tr>
    </w:tbl>
    <w:p w:rsidR="00B304C2" w:rsidRDefault="00B304C2" w:rsidP="00614847">
      <w:pPr>
        <w:jc w:val="both"/>
        <w:rPr>
          <w:b/>
          <w:bCs/>
          <w:sz w:val="28"/>
          <w:szCs w:val="28"/>
          <w:u w:val="single"/>
        </w:rPr>
      </w:pPr>
    </w:p>
    <w:p w:rsidR="00AB52B8" w:rsidRDefault="00AB52B8" w:rsidP="00614847">
      <w:pPr>
        <w:jc w:val="both"/>
        <w:rPr>
          <w:b/>
          <w:bCs/>
          <w:sz w:val="28"/>
          <w:szCs w:val="28"/>
          <w:u w:val="single"/>
        </w:rPr>
      </w:pPr>
    </w:p>
    <w:p w:rsidR="00F705C9" w:rsidRDefault="00F705C9" w:rsidP="00614847">
      <w:pPr>
        <w:jc w:val="both"/>
        <w:rPr>
          <w:b/>
          <w:bCs/>
          <w:sz w:val="28"/>
          <w:szCs w:val="28"/>
          <w:u w:val="single"/>
        </w:rPr>
      </w:pPr>
    </w:p>
    <w:p w:rsidR="00B304C2" w:rsidRDefault="00B304C2" w:rsidP="00614847">
      <w:pPr>
        <w:jc w:val="both"/>
        <w:rPr>
          <w:b/>
          <w:bCs/>
          <w:sz w:val="28"/>
          <w:szCs w:val="28"/>
          <w:u w:val="single"/>
        </w:rPr>
      </w:pPr>
    </w:p>
    <w:p w:rsidR="00B304C2" w:rsidRDefault="00B304C2" w:rsidP="00614847">
      <w:pPr>
        <w:jc w:val="both"/>
        <w:rPr>
          <w:b/>
          <w:bCs/>
          <w:sz w:val="28"/>
          <w:szCs w:val="28"/>
          <w:u w:val="single"/>
        </w:rPr>
      </w:pPr>
    </w:p>
    <w:p w:rsidR="002B6814" w:rsidRDefault="002B6814" w:rsidP="00614847">
      <w:pPr>
        <w:jc w:val="both"/>
        <w:rPr>
          <w:b/>
          <w:bCs/>
          <w:sz w:val="28"/>
          <w:szCs w:val="28"/>
          <w:u w:val="single"/>
        </w:rPr>
      </w:pPr>
    </w:p>
    <w:p w:rsidR="002B6814" w:rsidRDefault="002B6814" w:rsidP="00614847">
      <w:pPr>
        <w:jc w:val="both"/>
        <w:rPr>
          <w:b/>
          <w:bCs/>
          <w:sz w:val="28"/>
          <w:szCs w:val="28"/>
          <w:u w:val="single"/>
        </w:rPr>
      </w:pPr>
    </w:p>
    <w:p w:rsidR="002B6814" w:rsidRDefault="002B6814" w:rsidP="00614847">
      <w:pPr>
        <w:jc w:val="both"/>
        <w:rPr>
          <w:b/>
          <w:bCs/>
          <w:sz w:val="28"/>
          <w:szCs w:val="28"/>
          <w:u w:val="single"/>
        </w:rPr>
      </w:pPr>
    </w:p>
    <w:p w:rsidR="002B6814" w:rsidRDefault="002B6814" w:rsidP="00614847">
      <w:pPr>
        <w:jc w:val="both"/>
        <w:rPr>
          <w:b/>
          <w:bCs/>
          <w:sz w:val="28"/>
          <w:szCs w:val="28"/>
          <w:u w:val="single"/>
        </w:rPr>
      </w:pPr>
    </w:p>
    <w:tbl>
      <w:tblPr>
        <w:tblW w:w="9300" w:type="dxa"/>
        <w:tblInd w:w="94" w:type="dxa"/>
        <w:tblLook w:val="04A0"/>
      </w:tblPr>
      <w:tblGrid>
        <w:gridCol w:w="4020"/>
        <w:gridCol w:w="5280"/>
      </w:tblGrid>
      <w:tr w:rsidR="00CE44B3" w:rsidRPr="00CE44B3" w:rsidTr="00CE44B3">
        <w:trPr>
          <w:trHeight w:val="615"/>
        </w:trPr>
        <w:tc>
          <w:tcPr>
            <w:tcW w:w="4020" w:type="dxa"/>
            <w:tcBorders>
              <w:top w:val="single" w:sz="8" w:space="0" w:color="538ED5"/>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lastRenderedPageBreak/>
              <w:t>Saving Measure</w:t>
            </w:r>
          </w:p>
        </w:tc>
        <w:tc>
          <w:tcPr>
            <w:tcW w:w="5280" w:type="dxa"/>
            <w:tcBorders>
              <w:top w:val="single" w:sz="8" w:space="0" w:color="538ED5"/>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jc w:val="center"/>
              <w:rPr>
                <w:rFonts w:ascii="Calibri" w:eastAsia="Times New Roman" w:hAnsi="Calibri" w:cs="Calibri"/>
                <w:b/>
                <w:bCs/>
                <w:color w:val="FFFFFF"/>
              </w:rPr>
            </w:pPr>
            <w:r w:rsidRPr="00CE44B3">
              <w:rPr>
                <w:rFonts w:ascii="Calibri" w:eastAsia="Times New Roman" w:hAnsi="Calibri" w:cs="Calibri"/>
                <w:b/>
                <w:bCs/>
                <w:color w:val="FFFFFF"/>
              </w:rPr>
              <w:t>Installing Solar Water Heaters instead of the electric heaters</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Measure Target</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Reducing the overall energy consumption by 2 %</w:t>
            </w:r>
          </w:p>
        </w:tc>
      </w:tr>
      <w:tr w:rsidR="00CE44B3" w:rsidRPr="00CE44B3" w:rsidTr="00CE44B3">
        <w:trPr>
          <w:trHeight w:val="6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 xml:space="preserve">Measure </w:t>
            </w:r>
            <w:r w:rsidR="006F3BD3" w:rsidRPr="00CE44B3">
              <w:rPr>
                <w:rFonts w:ascii="Calibri" w:eastAsia="Times New Roman" w:hAnsi="Calibri" w:cs="Calibri"/>
                <w:b/>
                <w:bCs/>
                <w:color w:val="FFFFFF"/>
              </w:rPr>
              <w:t>Description</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installing solar water heaters instead of the existed electric water heaters for domestic use</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2B0632" w:rsidP="00CE44B3">
            <w:pPr>
              <w:spacing w:after="0" w:line="240" w:lineRule="auto"/>
              <w:rPr>
                <w:rFonts w:ascii="Calibri" w:eastAsia="Times New Roman" w:hAnsi="Calibri" w:cs="Calibri"/>
                <w:b/>
                <w:bCs/>
                <w:color w:val="FFFFFF"/>
              </w:rPr>
            </w:pPr>
            <w:r>
              <w:rPr>
                <w:rFonts w:ascii="Calibri" w:eastAsia="Times New Roman" w:hAnsi="Calibri" w:cs="Calibri"/>
                <w:b/>
                <w:bCs/>
                <w:color w:val="FFFFFF"/>
              </w:rPr>
              <w:t xml:space="preserve">Overall </w:t>
            </w:r>
            <w:r w:rsidR="00CE44B3" w:rsidRPr="00CE44B3">
              <w:rPr>
                <w:rFonts w:ascii="Calibri" w:eastAsia="Times New Roman" w:hAnsi="Calibri" w:cs="Calibri"/>
                <w:b/>
                <w:bCs/>
                <w:color w:val="FFFFFF"/>
              </w:rPr>
              <w:t>Energy Saving (kWh/year)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766,876</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Responsible for implementation</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xml:space="preserve">Sahab Municipality </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Period of implementation (Years)</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10 Years</w:t>
            </w:r>
          </w:p>
        </w:tc>
      </w:tr>
      <w:tr w:rsidR="00CE44B3" w:rsidRPr="00CE44B3" w:rsidTr="00CE44B3">
        <w:trPr>
          <w:trHeight w:val="37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Cost of  energy unit reduction (JOD/kWh)</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0.5780</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Total Investment Cost (JD)</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443,254</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[First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22,163</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[Second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22,163</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[Third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33,244</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[Fourth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33,244</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[Fifth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44,325</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[Sixth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44,325</w:t>
            </w:r>
          </w:p>
        </w:tc>
      </w:tr>
      <w:tr w:rsidR="00CE44B3" w:rsidRPr="00CE44B3" w:rsidTr="00CE44B3">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[Seventh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37,677</w:t>
            </w:r>
          </w:p>
        </w:tc>
      </w:tr>
      <w:tr w:rsidR="00CE44B3" w:rsidRPr="00CE44B3" w:rsidTr="00CE44B3">
        <w:trPr>
          <w:trHeight w:val="330"/>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[Eighth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66,488</w:t>
            </w:r>
          </w:p>
        </w:tc>
      </w:tr>
      <w:tr w:rsidR="00CE44B3" w:rsidRPr="00CE44B3" w:rsidTr="00CE44B3">
        <w:trPr>
          <w:trHeight w:val="360"/>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[ninth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69,813</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[tenth year]</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69,813</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Source of Funding</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Ministry of Energy and Mineral Resources / EU Funds</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Needed Awareness</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Workshops, Brochures, SMS,  Social Media</w:t>
            </w:r>
          </w:p>
        </w:tc>
      </w:tr>
      <w:tr w:rsidR="00CE44B3" w:rsidRPr="00CE44B3" w:rsidTr="00CE44B3">
        <w:trPr>
          <w:trHeight w:val="31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Implementing agency</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Local or International suppliers</w:t>
            </w:r>
          </w:p>
        </w:tc>
      </w:tr>
      <w:tr w:rsidR="00CE44B3" w:rsidRPr="00CE44B3" w:rsidTr="00CE44B3">
        <w:trPr>
          <w:trHeight w:val="675"/>
        </w:trPr>
        <w:tc>
          <w:tcPr>
            <w:tcW w:w="4020"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Description the mechanism of monitoring and evaluation</w:t>
            </w:r>
          </w:p>
        </w:tc>
        <w:tc>
          <w:tcPr>
            <w:tcW w:w="5280"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Periodic verification and monitoring for the desired energy saving by special committees</w:t>
            </w:r>
          </w:p>
        </w:tc>
      </w:tr>
    </w:tbl>
    <w:p w:rsidR="00B304C2" w:rsidRDefault="00B304C2" w:rsidP="00614847">
      <w:pPr>
        <w:jc w:val="both"/>
        <w:rPr>
          <w:b/>
          <w:bCs/>
          <w:sz w:val="28"/>
          <w:szCs w:val="28"/>
          <w:u w:val="single"/>
        </w:rPr>
      </w:pPr>
    </w:p>
    <w:p w:rsidR="00B304C2" w:rsidRDefault="00B304C2" w:rsidP="00614847">
      <w:pPr>
        <w:jc w:val="both"/>
        <w:rPr>
          <w:b/>
          <w:bCs/>
          <w:sz w:val="28"/>
          <w:szCs w:val="28"/>
          <w:u w:val="single"/>
        </w:rPr>
      </w:pPr>
    </w:p>
    <w:p w:rsidR="00D115E3" w:rsidRDefault="00D115E3" w:rsidP="00614847">
      <w:pPr>
        <w:jc w:val="both"/>
        <w:rPr>
          <w:b/>
          <w:bCs/>
          <w:sz w:val="28"/>
          <w:szCs w:val="28"/>
          <w:u w:val="single"/>
        </w:rPr>
      </w:pPr>
    </w:p>
    <w:p w:rsidR="00D115E3" w:rsidRDefault="00D115E3" w:rsidP="00614847">
      <w:pPr>
        <w:jc w:val="both"/>
        <w:rPr>
          <w:b/>
          <w:bCs/>
          <w:sz w:val="28"/>
          <w:szCs w:val="28"/>
          <w:u w:val="single"/>
        </w:rPr>
      </w:pPr>
    </w:p>
    <w:p w:rsidR="00D115E3" w:rsidRDefault="00D115E3" w:rsidP="00614847">
      <w:pPr>
        <w:jc w:val="both"/>
        <w:rPr>
          <w:b/>
          <w:bCs/>
          <w:sz w:val="28"/>
          <w:szCs w:val="28"/>
          <w:u w:val="single"/>
        </w:rPr>
      </w:pPr>
    </w:p>
    <w:tbl>
      <w:tblPr>
        <w:tblW w:w="9406" w:type="dxa"/>
        <w:jc w:val="center"/>
        <w:tblInd w:w="94" w:type="dxa"/>
        <w:tblLook w:val="04A0"/>
      </w:tblPr>
      <w:tblGrid>
        <w:gridCol w:w="4154"/>
        <w:gridCol w:w="5252"/>
      </w:tblGrid>
      <w:tr w:rsidR="00CE44B3" w:rsidRPr="00CE44B3" w:rsidTr="00D97B98">
        <w:trPr>
          <w:trHeight w:val="331"/>
          <w:jc w:val="center"/>
        </w:trPr>
        <w:tc>
          <w:tcPr>
            <w:tcW w:w="4154" w:type="dxa"/>
            <w:tcBorders>
              <w:top w:val="single" w:sz="8" w:space="0" w:color="538ED5"/>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lastRenderedPageBreak/>
              <w:t>Saving Measure</w:t>
            </w:r>
          </w:p>
        </w:tc>
        <w:tc>
          <w:tcPr>
            <w:tcW w:w="5252" w:type="dxa"/>
            <w:tcBorders>
              <w:top w:val="single" w:sz="8" w:space="0" w:color="538ED5"/>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jc w:val="center"/>
              <w:rPr>
                <w:rFonts w:ascii="Calibri" w:eastAsia="Times New Roman" w:hAnsi="Calibri" w:cs="Calibri"/>
                <w:b/>
                <w:bCs/>
                <w:color w:val="FFFFFF"/>
              </w:rPr>
            </w:pPr>
            <w:r w:rsidRPr="00CE44B3">
              <w:rPr>
                <w:rFonts w:ascii="Calibri" w:eastAsia="Times New Roman" w:hAnsi="Calibri" w:cs="Calibri"/>
                <w:b/>
                <w:bCs/>
                <w:color w:val="FFFFFF"/>
              </w:rPr>
              <w:t xml:space="preserve">Installing Photovoltaic </w:t>
            </w:r>
            <w:r>
              <w:rPr>
                <w:rFonts w:ascii="Calibri" w:eastAsia="Times New Roman" w:hAnsi="Calibri" w:cs="Calibri"/>
                <w:b/>
                <w:bCs/>
                <w:color w:val="FFFFFF"/>
              </w:rPr>
              <w:t>systems</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Measure Target</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Reducing the overall energy consumption by 13 %</w:t>
            </w:r>
          </w:p>
        </w:tc>
      </w:tr>
      <w:tr w:rsidR="00CE44B3" w:rsidRPr="00CE44B3" w:rsidTr="00B0738B">
        <w:trPr>
          <w:trHeight w:val="6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 xml:space="preserve">Measure </w:t>
            </w:r>
            <w:r w:rsidR="006F3BD3" w:rsidRPr="00CE44B3">
              <w:rPr>
                <w:rFonts w:ascii="Calibri" w:eastAsia="Times New Roman" w:hAnsi="Calibri" w:cs="Calibri"/>
                <w:b/>
                <w:bCs/>
                <w:color w:val="FFFFFF"/>
              </w:rPr>
              <w:t>Description</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xml:space="preserve">Installing Photo Voltaic systems as </w:t>
            </w:r>
            <w:r>
              <w:rPr>
                <w:rFonts w:ascii="Calibri" w:eastAsia="Times New Roman" w:hAnsi="Calibri" w:cs="Calibri"/>
                <w:color w:val="000000"/>
              </w:rPr>
              <w:t xml:space="preserve">an </w:t>
            </w:r>
            <w:r w:rsidRPr="00CE44B3">
              <w:rPr>
                <w:rFonts w:ascii="Calibri" w:eastAsia="Times New Roman" w:hAnsi="Calibri" w:cs="Calibri"/>
                <w:color w:val="000000"/>
              </w:rPr>
              <w:t>alternative source system to partially cove</w:t>
            </w:r>
            <w:r>
              <w:rPr>
                <w:rFonts w:ascii="Calibri" w:eastAsia="Times New Roman" w:hAnsi="Calibri" w:cs="Calibri"/>
                <w:color w:val="000000"/>
              </w:rPr>
              <w:t>r</w:t>
            </w:r>
            <w:r w:rsidRPr="00CE44B3">
              <w:rPr>
                <w:rFonts w:ascii="Calibri" w:eastAsia="Times New Roman" w:hAnsi="Calibri" w:cs="Calibri"/>
                <w:color w:val="000000"/>
              </w:rPr>
              <w:t xml:space="preserve"> the electricity demand</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6B3FF9" w:rsidP="00CE44B3">
            <w:pPr>
              <w:spacing w:after="0" w:line="240" w:lineRule="auto"/>
              <w:rPr>
                <w:rFonts w:ascii="Calibri" w:eastAsia="Times New Roman" w:hAnsi="Calibri" w:cs="Calibri"/>
                <w:b/>
                <w:bCs/>
                <w:color w:val="FFFFFF"/>
              </w:rPr>
            </w:pPr>
            <w:r>
              <w:rPr>
                <w:rFonts w:ascii="Calibri" w:eastAsia="Times New Roman" w:hAnsi="Calibri" w:cs="Calibri"/>
                <w:b/>
                <w:bCs/>
                <w:color w:val="FFFFFF"/>
              </w:rPr>
              <w:t xml:space="preserve">Overall </w:t>
            </w:r>
            <w:r w:rsidR="00CE44B3" w:rsidRPr="00CE44B3">
              <w:rPr>
                <w:rFonts w:ascii="Calibri" w:eastAsia="Times New Roman" w:hAnsi="Calibri" w:cs="Calibri"/>
                <w:b/>
                <w:bCs/>
                <w:color w:val="FFFFFF"/>
              </w:rPr>
              <w:t>Energy Saving (kWh/year)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4,984,694</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Responsible for implementation</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xml:space="preserve">Sahab Municipality </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Period of implementation (Years)</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10 Years</w:t>
            </w:r>
          </w:p>
        </w:tc>
      </w:tr>
      <w:tr w:rsidR="00CE44B3" w:rsidRPr="00CE44B3" w:rsidTr="00B0738B">
        <w:trPr>
          <w:trHeight w:val="37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Cost of  energy unit reduction (JOD/kWh)</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0.6410</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Total Investment Cost (JD)</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3,195,323</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[First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172,056</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[Second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147,476</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[Third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196,635</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[Fourth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196,635</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[Fifth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226,131</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[Sixth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400,644</w:t>
            </w:r>
          </w:p>
        </w:tc>
      </w:tr>
      <w:tr w:rsidR="00CE44B3" w:rsidRPr="00CE44B3" w:rsidTr="00B0738B">
        <w:trPr>
          <w:trHeight w:val="360"/>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[Seventh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400,644</w:t>
            </w:r>
          </w:p>
        </w:tc>
      </w:tr>
      <w:tr w:rsidR="00CE44B3" w:rsidRPr="00CE44B3" w:rsidTr="00B0738B">
        <w:trPr>
          <w:trHeight w:val="330"/>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[Eighth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442,429</w:t>
            </w:r>
          </w:p>
        </w:tc>
      </w:tr>
      <w:tr w:rsidR="00CE44B3" w:rsidRPr="00CE44B3" w:rsidTr="00B0738B">
        <w:trPr>
          <w:trHeight w:val="360"/>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[ninth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498,962</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Investment Cost (JD/Year) [tenth year]</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513,710</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Source of Funding</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Ministry of Energy and Mineral Resources / EU Funds</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Needed Awareness</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Workshops,Brochures, SMS, Social Media</w:t>
            </w:r>
          </w:p>
        </w:tc>
      </w:tr>
      <w:tr w:rsidR="00CE44B3" w:rsidRPr="00CE44B3" w:rsidTr="00B0738B">
        <w:trPr>
          <w:trHeight w:val="31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Implementing agency</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Local or International suppliers</w:t>
            </w:r>
          </w:p>
        </w:tc>
      </w:tr>
      <w:tr w:rsidR="00CE44B3" w:rsidRPr="00CE44B3" w:rsidTr="00B0738B">
        <w:trPr>
          <w:trHeight w:val="675"/>
          <w:jc w:val="center"/>
        </w:trPr>
        <w:tc>
          <w:tcPr>
            <w:tcW w:w="4154" w:type="dxa"/>
            <w:tcBorders>
              <w:top w:val="nil"/>
              <w:left w:val="nil"/>
              <w:bottom w:val="single" w:sz="8" w:space="0" w:color="538ED5"/>
              <w:right w:val="single" w:sz="8" w:space="0" w:color="538ED5"/>
            </w:tcBorders>
            <w:shd w:val="clear" w:color="000000" w:fill="31849B"/>
            <w:vAlign w:val="center"/>
            <w:hideMark/>
          </w:tcPr>
          <w:p w:rsidR="00CE44B3" w:rsidRPr="00CE44B3" w:rsidRDefault="00CE44B3" w:rsidP="00CE44B3">
            <w:pPr>
              <w:spacing w:after="0" w:line="240" w:lineRule="auto"/>
              <w:rPr>
                <w:rFonts w:ascii="Calibri" w:eastAsia="Times New Roman" w:hAnsi="Calibri" w:cs="Calibri"/>
                <w:b/>
                <w:bCs/>
                <w:color w:val="FFFFFF"/>
              </w:rPr>
            </w:pPr>
            <w:r w:rsidRPr="00CE44B3">
              <w:rPr>
                <w:rFonts w:ascii="Calibri" w:eastAsia="Times New Roman" w:hAnsi="Calibri" w:cs="Calibri"/>
                <w:b/>
                <w:bCs/>
                <w:color w:val="FFFFFF"/>
              </w:rPr>
              <w:t>Description the mechanism of monitoring and evaluation</w:t>
            </w:r>
          </w:p>
        </w:tc>
        <w:tc>
          <w:tcPr>
            <w:tcW w:w="5252" w:type="dxa"/>
            <w:tcBorders>
              <w:top w:val="nil"/>
              <w:left w:val="nil"/>
              <w:bottom w:val="single" w:sz="8" w:space="0" w:color="538ED5"/>
              <w:right w:val="nil"/>
            </w:tcBorders>
            <w:shd w:val="clear" w:color="auto" w:fill="auto"/>
            <w:vAlign w:val="center"/>
            <w:hideMark/>
          </w:tcPr>
          <w:p w:rsidR="00CE44B3" w:rsidRPr="00CE44B3" w:rsidRDefault="00CE44B3" w:rsidP="00CE44B3">
            <w:pPr>
              <w:spacing w:after="0" w:line="240" w:lineRule="auto"/>
              <w:jc w:val="center"/>
              <w:rPr>
                <w:rFonts w:ascii="Calibri" w:eastAsia="Times New Roman" w:hAnsi="Calibri" w:cs="Calibri"/>
                <w:color w:val="000000"/>
              </w:rPr>
            </w:pPr>
            <w:r w:rsidRPr="00CE44B3">
              <w:rPr>
                <w:rFonts w:ascii="Calibri" w:eastAsia="Times New Roman" w:hAnsi="Calibri" w:cs="Calibri"/>
                <w:color w:val="000000"/>
              </w:rPr>
              <w:t xml:space="preserve">Periodic verification and monitoring </w:t>
            </w:r>
            <w:r>
              <w:rPr>
                <w:rFonts w:ascii="Calibri" w:eastAsia="Times New Roman" w:hAnsi="Calibri" w:cs="Calibri"/>
                <w:color w:val="000000"/>
              </w:rPr>
              <w:t>for the desired energy saving by special committees</w:t>
            </w:r>
          </w:p>
        </w:tc>
      </w:tr>
    </w:tbl>
    <w:p w:rsidR="00A9306D" w:rsidRDefault="00A9306D" w:rsidP="00614847">
      <w:pPr>
        <w:jc w:val="both"/>
        <w:rPr>
          <w:b/>
          <w:bCs/>
          <w:sz w:val="28"/>
          <w:szCs w:val="28"/>
          <w:u w:val="single"/>
        </w:rPr>
      </w:pPr>
    </w:p>
    <w:p w:rsidR="00C27F92" w:rsidRDefault="00C27F92" w:rsidP="0040151D">
      <w:pPr>
        <w:jc w:val="both"/>
        <w:rPr>
          <w:sz w:val="24"/>
          <w:szCs w:val="24"/>
        </w:rPr>
      </w:pPr>
    </w:p>
    <w:p w:rsidR="00C27F92" w:rsidRDefault="00C27F92" w:rsidP="0040151D">
      <w:pPr>
        <w:jc w:val="both"/>
        <w:rPr>
          <w:sz w:val="24"/>
          <w:szCs w:val="24"/>
        </w:rPr>
      </w:pPr>
    </w:p>
    <w:p w:rsidR="00C27F92" w:rsidRDefault="00C27F92" w:rsidP="0040151D">
      <w:pPr>
        <w:jc w:val="both"/>
        <w:rPr>
          <w:sz w:val="24"/>
          <w:szCs w:val="24"/>
        </w:rPr>
      </w:pPr>
    </w:p>
    <w:p w:rsidR="00B0738B" w:rsidRDefault="00B0738B" w:rsidP="0040151D">
      <w:pPr>
        <w:jc w:val="both"/>
        <w:rPr>
          <w:sz w:val="24"/>
          <w:szCs w:val="24"/>
        </w:rPr>
      </w:pPr>
    </w:p>
    <w:p w:rsidR="00AB52B8" w:rsidRDefault="0098307B" w:rsidP="00C94E17">
      <w:pPr>
        <w:jc w:val="both"/>
        <w:rPr>
          <w:sz w:val="24"/>
          <w:szCs w:val="24"/>
        </w:rPr>
      </w:pPr>
      <w:r>
        <w:rPr>
          <w:sz w:val="24"/>
          <w:szCs w:val="24"/>
        </w:rPr>
        <w:lastRenderedPageBreak/>
        <w:t>Figure</w:t>
      </w:r>
      <w:r w:rsidR="00C94E17">
        <w:rPr>
          <w:sz w:val="24"/>
          <w:szCs w:val="24"/>
        </w:rPr>
        <w:t>8</w:t>
      </w:r>
      <w:r>
        <w:rPr>
          <w:sz w:val="24"/>
          <w:szCs w:val="24"/>
        </w:rPr>
        <w:t xml:space="preserve">and </w:t>
      </w:r>
      <w:r w:rsidR="00C94E17">
        <w:rPr>
          <w:sz w:val="24"/>
          <w:szCs w:val="24"/>
        </w:rPr>
        <w:t>9</w:t>
      </w:r>
      <w:r>
        <w:rPr>
          <w:sz w:val="24"/>
          <w:szCs w:val="24"/>
        </w:rPr>
        <w:t xml:space="preserve"> show t</w:t>
      </w:r>
      <w:r w:rsidRPr="0098307B">
        <w:rPr>
          <w:sz w:val="24"/>
          <w:szCs w:val="24"/>
        </w:rPr>
        <w:t>he overall investment and its distribution for the above recommended measures through</w:t>
      </w:r>
      <w:r>
        <w:rPr>
          <w:sz w:val="24"/>
          <w:szCs w:val="24"/>
        </w:rPr>
        <w:t xml:space="preserve"> the hall period of the plan, which show that the largest investment go</w:t>
      </w:r>
      <w:r w:rsidR="0040151D">
        <w:rPr>
          <w:sz w:val="24"/>
          <w:szCs w:val="24"/>
        </w:rPr>
        <w:t xml:space="preserve">es to the </w:t>
      </w:r>
      <w:r w:rsidR="00775354">
        <w:rPr>
          <w:sz w:val="24"/>
          <w:szCs w:val="24"/>
        </w:rPr>
        <w:t xml:space="preserve">renewable energysystems along the hall period </w:t>
      </w:r>
      <w:r w:rsidR="001E7178">
        <w:rPr>
          <w:sz w:val="24"/>
          <w:szCs w:val="24"/>
        </w:rPr>
        <w:t xml:space="preserve">with </w:t>
      </w:r>
      <w:r w:rsidR="00775354">
        <w:rPr>
          <w:sz w:val="24"/>
          <w:szCs w:val="24"/>
        </w:rPr>
        <w:t>annual investment</w:t>
      </w:r>
      <w:r w:rsidR="009C12C8">
        <w:rPr>
          <w:sz w:val="24"/>
          <w:szCs w:val="24"/>
        </w:rPr>
        <w:t>s</w:t>
      </w:r>
      <w:r w:rsidR="00775354">
        <w:rPr>
          <w:sz w:val="24"/>
          <w:szCs w:val="24"/>
        </w:rPr>
        <w:t xml:space="preserve"> range between </w:t>
      </w:r>
      <w:r w:rsidR="004B174A">
        <w:rPr>
          <w:sz w:val="24"/>
          <w:szCs w:val="24"/>
        </w:rPr>
        <w:t>169,000</w:t>
      </w:r>
      <w:r w:rsidR="00775354">
        <w:rPr>
          <w:sz w:val="24"/>
          <w:szCs w:val="24"/>
        </w:rPr>
        <w:t xml:space="preserve"> and </w:t>
      </w:r>
      <w:r w:rsidR="004B174A">
        <w:rPr>
          <w:sz w:val="24"/>
          <w:szCs w:val="24"/>
        </w:rPr>
        <w:t>582,000</w:t>
      </w:r>
      <w:r w:rsidR="00775354">
        <w:rPr>
          <w:sz w:val="24"/>
          <w:szCs w:val="24"/>
        </w:rPr>
        <w:t xml:space="preserve"> JOD</w:t>
      </w:r>
      <w:r w:rsidR="0040151D">
        <w:rPr>
          <w:sz w:val="24"/>
          <w:szCs w:val="24"/>
        </w:rPr>
        <w:t>.</w:t>
      </w:r>
      <w:r w:rsidR="00775354">
        <w:rPr>
          <w:sz w:val="24"/>
          <w:szCs w:val="24"/>
        </w:rPr>
        <w:t xml:space="preserve"> While the other saving measures take an annual investment between 1</w:t>
      </w:r>
      <w:r w:rsidR="004B174A">
        <w:rPr>
          <w:sz w:val="24"/>
          <w:szCs w:val="24"/>
        </w:rPr>
        <w:t>63</w:t>
      </w:r>
      <w:r w:rsidR="00775354">
        <w:rPr>
          <w:sz w:val="24"/>
          <w:szCs w:val="24"/>
        </w:rPr>
        <w:t xml:space="preserve">,000 and </w:t>
      </w:r>
      <w:r w:rsidR="004B174A">
        <w:rPr>
          <w:sz w:val="24"/>
          <w:szCs w:val="24"/>
        </w:rPr>
        <w:t>199</w:t>
      </w:r>
      <w:r w:rsidR="00775354">
        <w:rPr>
          <w:sz w:val="24"/>
          <w:szCs w:val="24"/>
        </w:rPr>
        <w:t xml:space="preserve">,000 JOD. </w:t>
      </w:r>
    </w:p>
    <w:p w:rsidR="00C27F92" w:rsidRDefault="00C27F92" w:rsidP="0040151D">
      <w:pPr>
        <w:jc w:val="both"/>
        <w:rPr>
          <w:sz w:val="24"/>
          <w:szCs w:val="24"/>
        </w:rPr>
      </w:pPr>
    </w:p>
    <w:p w:rsidR="0098307B" w:rsidRDefault="00D115E3" w:rsidP="00D151FA">
      <w:pPr>
        <w:spacing w:after="0"/>
        <w:jc w:val="center"/>
        <w:rPr>
          <w:sz w:val="24"/>
          <w:szCs w:val="24"/>
        </w:rPr>
      </w:pPr>
      <w:r>
        <w:rPr>
          <w:noProof/>
          <w:sz w:val="24"/>
          <w:szCs w:val="24"/>
        </w:rPr>
        <w:drawing>
          <wp:inline distT="0" distB="0" distL="0" distR="0">
            <wp:extent cx="5139338" cy="3743864"/>
            <wp:effectExtent l="0" t="0" r="4162"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150049" cy="3751667"/>
                    </a:xfrm>
                    <a:prstGeom prst="rect">
                      <a:avLst/>
                    </a:prstGeom>
                    <a:noFill/>
                  </pic:spPr>
                </pic:pic>
              </a:graphicData>
            </a:graphic>
          </wp:inline>
        </w:drawing>
      </w:r>
    </w:p>
    <w:p w:rsidR="00AB52B8" w:rsidRDefault="00F03215" w:rsidP="00C94E17">
      <w:pPr>
        <w:spacing w:after="0"/>
        <w:jc w:val="center"/>
      </w:pPr>
      <w:r w:rsidRPr="00D151FA">
        <w:t xml:space="preserve">Figure </w:t>
      </w:r>
      <w:r w:rsidR="00C94E17">
        <w:t>8</w:t>
      </w:r>
      <w:r w:rsidRPr="00D151FA">
        <w:t>: Investment weight distribution for the recommended saving measures</w:t>
      </w:r>
    </w:p>
    <w:p w:rsidR="000761DE" w:rsidRPr="00D151FA" w:rsidRDefault="000761DE" w:rsidP="00D151FA">
      <w:pPr>
        <w:spacing w:after="0"/>
        <w:jc w:val="center"/>
      </w:pPr>
    </w:p>
    <w:p w:rsidR="00D151FA" w:rsidRDefault="00D151FA" w:rsidP="00D151FA">
      <w:pPr>
        <w:spacing w:after="0"/>
        <w:jc w:val="center"/>
        <w:rPr>
          <w:sz w:val="24"/>
          <w:szCs w:val="24"/>
        </w:rPr>
      </w:pPr>
    </w:p>
    <w:p w:rsidR="00AB52B8" w:rsidRDefault="00B0738B" w:rsidP="00BA37F3">
      <w:pPr>
        <w:spacing w:after="0"/>
        <w:ind w:left="-630"/>
        <w:jc w:val="center"/>
        <w:rPr>
          <w:sz w:val="24"/>
          <w:szCs w:val="24"/>
        </w:rPr>
      </w:pPr>
      <w:r w:rsidRPr="00B0738B">
        <w:rPr>
          <w:noProof/>
          <w:sz w:val="24"/>
          <w:szCs w:val="24"/>
        </w:rPr>
        <w:lastRenderedPageBreak/>
        <w:drawing>
          <wp:inline distT="0" distB="0" distL="0" distR="0">
            <wp:extent cx="6459387" cy="5193102"/>
            <wp:effectExtent l="19050" t="0" r="17613" b="7548"/>
            <wp:docPr id="91"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61DE" w:rsidRDefault="00F03215" w:rsidP="00C94E17">
      <w:pPr>
        <w:spacing w:after="0"/>
        <w:jc w:val="center"/>
      </w:pPr>
      <w:r w:rsidRPr="00D115E3">
        <w:t xml:space="preserve">Figure </w:t>
      </w:r>
      <w:r w:rsidR="00C94E17">
        <w:t>9</w:t>
      </w:r>
      <w:r w:rsidRPr="00D115E3">
        <w:t xml:space="preserve">: </w:t>
      </w:r>
      <w:r w:rsidR="009C12C8">
        <w:t xml:space="preserve">The </w:t>
      </w:r>
      <w:r w:rsidRPr="00D115E3">
        <w:t>amount of investment</w:t>
      </w:r>
      <w:r w:rsidR="009C12C8">
        <w:t>s</w:t>
      </w:r>
      <w:r w:rsidRPr="00D115E3">
        <w:t xml:space="preserve"> for the recommended saving measures through next 10 years</w:t>
      </w:r>
    </w:p>
    <w:p w:rsidR="0084790A" w:rsidRDefault="0084790A" w:rsidP="0040151D">
      <w:pPr>
        <w:spacing w:after="0"/>
        <w:jc w:val="center"/>
      </w:pPr>
    </w:p>
    <w:p w:rsidR="0084790A" w:rsidRDefault="0084790A" w:rsidP="0040151D">
      <w:pPr>
        <w:spacing w:after="0"/>
        <w:jc w:val="center"/>
      </w:pPr>
    </w:p>
    <w:p w:rsidR="0084790A" w:rsidRDefault="0084790A" w:rsidP="0040151D">
      <w:pPr>
        <w:spacing w:after="0"/>
        <w:jc w:val="center"/>
      </w:pPr>
    </w:p>
    <w:p w:rsidR="0084790A" w:rsidRDefault="0084790A" w:rsidP="0040151D">
      <w:pPr>
        <w:spacing w:after="0"/>
        <w:jc w:val="center"/>
      </w:pPr>
    </w:p>
    <w:p w:rsidR="0084790A" w:rsidRDefault="0084790A" w:rsidP="0040151D">
      <w:pPr>
        <w:spacing w:after="0"/>
        <w:jc w:val="center"/>
      </w:pPr>
    </w:p>
    <w:p w:rsidR="0084790A" w:rsidRDefault="0084790A" w:rsidP="0040151D">
      <w:pPr>
        <w:spacing w:after="0"/>
        <w:jc w:val="center"/>
      </w:pPr>
    </w:p>
    <w:p w:rsidR="0084790A" w:rsidRDefault="0084790A" w:rsidP="0040151D">
      <w:pPr>
        <w:spacing w:after="0"/>
        <w:jc w:val="center"/>
      </w:pPr>
    </w:p>
    <w:p w:rsidR="0084790A" w:rsidRDefault="0084790A" w:rsidP="0040151D">
      <w:pPr>
        <w:spacing w:after="0"/>
        <w:jc w:val="center"/>
      </w:pPr>
    </w:p>
    <w:p w:rsidR="0084790A" w:rsidRPr="005E13E8" w:rsidRDefault="0084790A" w:rsidP="00EF0D68">
      <w:pPr>
        <w:spacing w:after="0"/>
      </w:pPr>
    </w:p>
    <w:p w:rsidR="00B17A8A" w:rsidRPr="00EF4142" w:rsidRDefault="00376052" w:rsidP="00EF4142">
      <w:pPr>
        <w:pStyle w:val="ListParagraph"/>
        <w:numPr>
          <w:ilvl w:val="0"/>
          <w:numId w:val="6"/>
        </w:numPr>
        <w:outlineLvl w:val="0"/>
        <w:rPr>
          <w:rFonts w:eastAsiaTheme="majorEastAsia" w:cs="Arial"/>
          <w:b/>
          <w:bCs/>
          <w:sz w:val="28"/>
          <w:szCs w:val="28"/>
        </w:rPr>
      </w:pPr>
      <w:bookmarkStart w:id="11" w:name="_Toc435736014"/>
      <w:r w:rsidRPr="00EF4142">
        <w:rPr>
          <w:rFonts w:eastAsiaTheme="majorEastAsia" w:cs="Arial"/>
          <w:b/>
          <w:bCs/>
          <w:sz w:val="28"/>
          <w:szCs w:val="28"/>
        </w:rPr>
        <w:lastRenderedPageBreak/>
        <w:t>Awareness and training program</w:t>
      </w:r>
      <w:bookmarkEnd w:id="11"/>
    </w:p>
    <w:p w:rsidR="00BC0CE4" w:rsidRDefault="00BC0CE4" w:rsidP="00BC0CE4">
      <w:pPr>
        <w:pStyle w:val="ListParagraph"/>
        <w:ind w:left="0"/>
        <w:jc w:val="both"/>
        <w:rPr>
          <w:rFonts w:eastAsiaTheme="majorEastAsia" w:cs="Arial"/>
          <w:sz w:val="24"/>
          <w:szCs w:val="24"/>
        </w:rPr>
      </w:pPr>
    </w:p>
    <w:p w:rsidR="0045555C" w:rsidRDefault="00BC0CE4" w:rsidP="006A4CE8">
      <w:pPr>
        <w:pStyle w:val="ListParagraph"/>
        <w:ind w:left="0"/>
        <w:jc w:val="both"/>
        <w:rPr>
          <w:rFonts w:eastAsiaTheme="majorEastAsia" w:cs="Arial"/>
          <w:sz w:val="24"/>
          <w:szCs w:val="24"/>
        </w:rPr>
      </w:pPr>
      <w:r w:rsidRPr="00BC0CE4">
        <w:rPr>
          <w:rFonts w:eastAsiaTheme="majorEastAsia" w:cs="Arial"/>
          <w:sz w:val="24"/>
          <w:szCs w:val="24"/>
        </w:rPr>
        <w:t xml:space="preserve">The following actions and activities </w:t>
      </w:r>
      <w:r w:rsidR="00356F99">
        <w:rPr>
          <w:rFonts w:eastAsiaTheme="majorEastAsia" w:cs="Arial"/>
          <w:sz w:val="24"/>
          <w:szCs w:val="24"/>
        </w:rPr>
        <w:t xml:space="preserve">summarize </w:t>
      </w:r>
      <w:r w:rsidRPr="00BC0CE4">
        <w:rPr>
          <w:rFonts w:eastAsiaTheme="majorEastAsia" w:cs="Arial"/>
          <w:sz w:val="24"/>
          <w:szCs w:val="24"/>
        </w:rPr>
        <w:t>the awareness program contents:</w:t>
      </w:r>
    </w:p>
    <w:p w:rsidR="006A4CE8" w:rsidRPr="006A4CE8" w:rsidRDefault="006A4CE8" w:rsidP="006A4CE8">
      <w:pPr>
        <w:pStyle w:val="ListParagraph"/>
        <w:ind w:left="0"/>
        <w:jc w:val="both"/>
        <w:rPr>
          <w:rFonts w:eastAsiaTheme="majorEastAsia" w:cs="Arial"/>
          <w:sz w:val="24"/>
          <w:szCs w:val="24"/>
        </w:rPr>
      </w:pPr>
    </w:p>
    <w:p w:rsidR="006A4CE8" w:rsidRDefault="0045555C" w:rsidP="006A4CE8">
      <w:pPr>
        <w:pStyle w:val="ListParagraph"/>
        <w:numPr>
          <w:ilvl w:val="0"/>
          <w:numId w:val="19"/>
        </w:numPr>
        <w:jc w:val="both"/>
        <w:rPr>
          <w:rFonts w:eastAsiaTheme="majorEastAsia" w:cs="Arial"/>
          <w:b/>
          <w:bCs/>
          <w:sz w:val="24"/>
          <w:szCs w:val="24"/>
          <w:lang w:val="en-GB"/>
        </w:rPr>
      </w:pPr>
      <w:r w:rsidRPr="006A4CE8">
        <w:rPr>
          <w:rFonts w:eastAsiaTheme="majorEastAsia" w:cs="Arial"/>
          <w:b/>
          <w:bCs/>
          <w:sz w:val="24"/>
          <w:szCs w:val="24"/>
          <w:lang w:val="en-GB"/>
        </w:rPr>
        <w:t>Conduct awareness workshops for the schools and through the masjids and local NGOs that aim at increasing awareness and involvement of the local population and other stakeholders in sustainable energy issues and possible measures and best practices.</w:t>
      </w:r>
    </w:p>
    <w:p w:rsidR="003E34BD" w:rsidRDefault="003E34BD" w:rsidP="006A4CE8">
      <w:pPr>
        <w:pStyle w:val="ListParagraph"/>
        <w:ind w:left="360"/>
        <w:jc w:val="both"/>
        <w:rPr>
          <w:rFonts w:eastAsiaTheme="majorEastAsia" w:cs="Arial"/>
          <w:sz w:val="24"/>
          <w:szCs w:val="24"/>
          <w:lang w:val="en-GB"/>
        </w:rPr>
      </w:pPr>
    </w:p>
    <w:p w:rsidR="0045555C" w:rsidRPr="003E34BD" w:rsidRDefault="0045555C" w:rsidP="006A4CE8">
      <w:pPr>
        <w:pStyle w:val="ListParagraph"/>
        <w:ind w:left="360"/>
        <w:jc w:val="both"/>
        <w:rPr>
          <w:rFonts w:eastAsiaTheme="majorEastAsia" w:cs="Arial"/>
          <w:sz w:val="24"/>
          <w:szCs w:val="24"/>
          <w:lang w:val="en-GB"/>
        </w:rPr>
      </w:pPr>
      <w:r w:rsidRPr="003E34BD">
        <w:rPr>
          <w:rFonts w:eastAsiaTheme="majorEastAsia" w:cs="Arial"/>
          <w:sz w:val="24"/>
          <w:szCs w:val="24"/>
          <w:lang w:val="en-GB"/>
        </w:rPr>
        <w:t>The awareness will include:</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Educate the people about climate change negative impacts on our living conditions and the different possible adaptation measures</w:t>
      </w:r>
      <w:r w:rsidR="006A4CE8">
        <w:rPr>
          <w:rFonts w:eastAsiaTheme="majorEastAsia" w:cs="Arial"/>
          <w:sz w:val="24"/>
          <w:szCs w:val="24"/>
          <w:lang w:val="en-GB"/>
        </w:rPr>
        <w:t>.</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Promote the importance of implementing best practices for green life, and its impact on our health, environment and even on our earth in general. An example for these practices is fixing the AC at idea temperatures in winter and summer, avoid using machines during peak time, and avoid locating the refrigerator in sunny place, purchase smart labelled appliances, and others.  </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Educate people about the available tools and lighting units to save energy whether through energy efficiency or renewable energy sources and its positive impact on reducing financial bills, reducing emissions and its negative consequences.</w:t>
      </w:r>
    </w:p>
    <w:p w:rsidR="0045555C" w:rsidRPr="003E34BD" w:rsidRDefault="0045555C" w:rsidP="003E34BD">
      <w:pPr>
        <w:numPr>
          <w:ilvl w:val="0"/>
          <w:numId w:val="16"/>
        </w:numPr>
        <w:jc w:val="both"/>
        <w:rPr>
          <w:rFonts w:eastAsiaTheme="majorEastAsia" w:cs="Arial"/>
          <w:sz w:val="24"/>
          <w:szCs w:val="24"/>
          <w:lang w:val="en-GB"/>
        </w:rPr>
      </w:pPr>
      <w:r w:rsidRPr="0045555C">
        <w:rPr>
          <w:rFonts w:eastAsiaTheme="majorEastAsia" w:cs="Arial"/>
          <w:sz w:val="24"/>
          <w:szCs w:val="24"/>
          <w:lang w:val="en-GB"/>
        </w:rPr>
        <w:t>Distribute promotional items to remind people of such workshop on the form of energy efficiency lighting units kit (except students) to be used at their houses instead of the regular bulbs and encourage them to do simple audit through measuring the difference in bills.</w:t>
      </w:r>
    </w:p>
    <w:p w:rsidR="0045555C" w:rsidRPr="006A4CE8" w:rsidRDefault="0045555C" w:rsidP="006A4CE8">
      <w:pPr>
        <w:pStyle w:val="ListParagraph"/>
        <w:numPr>
          <w:ilvl w:val="0"/>
          <w:numId w:val="19"/>
        </w:numPr>
        <w:jc w:val="both"/>
        <w:rPr>
          <w:rFonts w:eastAsiaTheme="majorEastAsia" w:cs="Arial"/>
          <w:b/>
          <w:bCs/>
          <w:sz w:val="24"/>
          <w:szCs w:val="24"/>
          <w:lang w:val="en-GB"/>
        </w:rPr>
      </w:pPr>
      <w:r w:rsidRPr="006A4CE8">
        <w:rPr>
          <w:rFonts w:eastAsiaTheme="majorEastAsia" w:cs="Arial"/>
          <w:b/>
          <w:bCs/>
          <w:sz w:val="24"/>
          <w:szCs w:val="24"/>
          <w:lang w:val="en-GB"/>
        </w:rPr>
        <w:t>Develop media campaign to ensure wide communication with people through social media channels.</w:t>
      </w:r>
    </w:p>
    <w:p w:rsidR="0045555C" w:rsidRPr="0045555C" w:rsidRDefault="0045555C" w:rsidP="0045555C">
      <w:pPr>
        <w:jc w:val="both"/>
        <w:rPr>
          <w:rFonts w:eastAsiaTheme="majorEastAsia" w:cs="Arial"/>
          <w:sz w:val="24"/>
          <w:szCs w:val="24"/>
          <w:lang w:val="en-GB"/>
        </w:rPr>
      </w:pPr>
      <w:r w:rsidRPr="0045555C">
        <w:rPr>
          <w:rFonts w:eastAsiaTheme="majorEastAsia" w:cs="Arial"/>
          <w:sz w:val="24"/>
          <w:szCs w:val="24"/>
          <w:lang w:val="en-GB"/>
        </w:rPr>
        <w:t>This will include:</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Sending Mass Text Messages (SMS) to Sahab Citizens’ Mobiles </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Sending Mass emails that include the project educational brochures to the general public.</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lastRenderedPageBreak/>
        <w:t>Develop an interactive game for students to teach them the best practices and distribute it on DVDs.</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Develop a T.V. spot to be broadcasted on T.V. channels to promote energy saving tools and practices. </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Create a Facebook page and link it to Sahab Municipality page with updated news and activities of the project.</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 Create a You-Tube channel for the project and upload the project’s different activities, movies, digital game and T.V. Spots.</w:t>
      </w:r>
    </w:p>
    <w:p w:rsidR="0045555C" w:rsidRPr="003E34BD" w:rsidRDefault="0045555C" w:rsidP="003E34BD">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 Develop educational and attractive brochures to be distributed during the different workshops.</w:t>
      </w:r>
    </w:p>
    <w:p w:rsidR="0045555C" w:rsidRPr="006A4CE8" w:rsidRDefault="0045555C" w:rsidP="006A4CE8">
      <w:pPr>
        <w:pStyle w:val="ListParagraph"/>
        <w:numPr>
          <w:ilvl w:val="0"/>
          <w:numId w:val="19"/>
        </w:numPr>
        <w:jc w:val="both"/>
        <w:rPr>
          <w:rFonts w:eastAsiaTheme="majorEastAsia" w:cs="Arial"/>
          <w:b/>
          <w:bCs/>
          <w:sz w:val="24"/>
          <w:szCs w:val="24"/>
          <w:lang w:val="en-GB"/>
        </w:rPr>
      </w:pPr>
      <w:r w:rsidRPr="006A4CE8">
        <w:rPr>
          <w:rFonts w:eastAsiaTheme="majorEastAsia" w:cs="Arial"/>
          <w:b/>
          <w:bCs/>
          <w:sz w:val="24"/>
          <w:szCs w:val="24"/>
          <w:lang w:val="en-GB"/>
        </w:rPr>
        <w:t>Use labels and stickers at schools and public places encouraging responsible actions  such as “ turning light off when not in use</w:t>
      </w:r>
      <w:r w:rsidR="006A4CE8">
        <w:rPr>
          <w:rFonts w:eastAsiaTheme="majorEastAsia" w:cs="Arial"/>
          <w:b/>
          <w:bCs/>
          <w:sz w:val="24"/>
          <w:szCs w:val="24"/>
          <w:lang w:val="en-GB"/>
        </w:rPr>
        <w:t>”.</w:t>
      </w:r>
    </w:p>
    <w:p w:rsidR="0045555C" w:rsidRPr="0045555C" w:rsidRDefault="0045555C" w:rsidP="003E34BD">
      <w:pPr>
        <w:ind w:left="360"/>
        <w:jc w:val="both"/>
        <w:rPr>
          <w:rFonts w:eastAsiaTheme="majorEastAsia" w:cs="Arial"/>
          <w:sz w:val="24"/>
          <w:szCs w:val="24"/>
          <w:lang w:val="en-GB"/>
        </w:rPr>
      </w:pPr>
      <w:r w:rsidRPr="0045555C">
        <w:rPr>
          <w:rFonts w:eastAsiaTheme="majorEastAsia" w:cs="Arial"/>
          <w:sz w:val="24"/>
          <w:szCs w:val="24"/>
          <w:lang w:val="en-GB"/>
        </w:rPr>
        <w:t>Simple stickers will be designed in order to be sticked next to lights switches or at entrances and corridors to remind people to turn off the light when not in use or encouraging the use of renewable energy.</w:t>
      </w:r>
    </w:p>
    <w:p w:rsidR="0045555C" w:rsidRPr="006A4CE8" w:rsidRDefault="0045555C" w:rsidP="006A4CE8">
      <w:pPr>
        <w:pStyle w:val="ListParagraph"/>
        <w:numPr>
          <w:ilvl w:val="0"/>
          <w:numId w:val="19"/>
        </w:numPr>
        <w:jc w:val="both"/>
        <w:rPr>
          <w:rFonts w:eastAsiaTheme="majorEastAsia" w:cs="Arial"/>
          <w:b/>
          <w:bCs/>
          <w:sz w:val="24"/>
          <w:szCs w:val="24"/>
          <w:lang w:val="en-GB"/>
        </w:rPr>
      </w:pPr>
      <w:r w:rsidRPr="006A4CE8">
        <w:rPr>
          <w:rFonts w:eastAsiaTheme="majorEastAsia" w:cs="Arial"/>
          <w:b/>
          <w:bCs/>
          <w:sz w:val="24"/>
          <w:szCs w:val="24"/>
          <w:lang w:val="en-GB"/>
        </w:rPr>
        <w:t>Conduct different training programs to build capacities of Sahab municipality’s employees in the following:</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Enhance financial management skills for the different activities and projects with special focus on Energy projects to ensure proper management of energy technology and optimum savings and rationalization. Additionally, ensure the green concept in projects’ design and procurement.</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Enhance their fund raising skills through teaching them how to identify and approach Donors and available options for fund. Teaching them how to benefit from the CSR of the industrial city located at Sahab, and teaches them how to benefit from available support for Municipalities at International level such as Covenant of Mayors.</w:t>
      </w:r>
    </w:p>
    <w:p w:rsidR="0045555C" w:rsidRPr="003E34BD" w:rsidRDefault="0045555C" w:rsidP="003E34BD">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Enhance their technical skills and enable those managing projects, sustainable urban development and energy efficiency, skills and proven understanding, of international </w:t>
      </w:r>
      <w:r w:rsidRPr="0045555C">
        <w:rPr>
          <w:rFonts w:eastAsiaTheme="majorEastAsia" w:cs="Arial"/>
          <w:sz w:val="24"/>
          <w:szCs w:val="24"/>
          <w:lang w:val="en-GB"/>
        </w:rPr>
        <w:lastRenderedPageBreak/>
        <w:t>cooperation modalities. More understanding for Twining projects and coordination’s at the national, regional and international level.</w:t>
      </w:r>
    </w:p>
    <w:p w:rsidR="0045555C" w:rsidRPr="006A4CE8" w:rsidRDefault="0045555C" w:rsidP="006A4CE8">
      <w:pPr>
        <w:pStyle w:val="ListParagraph"/>
        <w:numPr>
          <w:ilvl w:val="0"/>
          <w:numId w:val="19"/>
        </w:numPr>
        <w:jc w:val="both"/>
        <w:rPr>
          <w:rFonts w:eastAsiaTheme="majorEastAsia" w:cs="Arial"/>
          <w:b/>
          <w:bCs/>
          <w:sz w:val="24"/>
          <w:szCs w:val="24"/>
          <w:lang w:val="en-GB"/>
        </w:rPr>
      </w:pPr>
      <w:r w:rsidRPr="006A4CE8">
        <w:rPr>
          <w:rFonts w:eastAsiaTheme="majorEastAsia" w:cs="Arial"/>
          <w:b/>
          <w:bCs/>
          <w:sz w:val="24"/>
          <w:szCs w:val="24"/>
          <w:lang w:val="en-GB"/>
        </w:rPr>
        <w:t xml:space="preserve">Install instructions signs in the </w:t>
      </w:r>
      <w:r w:rsidR="003E34BD">
        <w:rPr>
          <w:rFonts w:eastAsiaTheme="majorEastAsia" w:cs="Arial"/>
          <w:b/>
          <w:bCs/>
          <w:sz w:val="24"/>
          <w:szCs w:val="24"/>
          <w:lang w:val="en-GB"/>
        </w:rPr>
        <w:t>companies’</w:t>
      </w:r>
      <w:r w:rsidRPr="006A4CE8">
        <w:rPr>
          <w:rFonts w:eastAsiaTheme="majorEastAsia" w:cs="Arial"/>
          <w:b/>
          <w:bCs/>
          <w:sz w:val="24"/>
          <w:szCs w:val="24"/>
          <w:lang w:val="en-GB"/>
        </w:rPr>
        <w:t xml:space="preserve"> offices which states very clearly energy efficiency best practices as a daily reminder for the employees.</w:t>
      </w:r>
    </w:p>
    <w:p w:rsidR="0045555C" w:rsidRPr="0045555C" w:rsidRDefault="0045555C" w:rsidP="0045555C">
      <w:pPr>
        <w:jc w:val="both"/>
        <w:rPr>
          <w:rFonts w:eastAsiaTheme="majorEastAsia" w:cs="Arial"/>
          <w:sz w:val="24"/>
          <w:szCs w:val="24"/>
          <w:lang w:val="en-GB"/>
        </w:rPr>
      </w:pPr>
      <w:r w:rsidRPr="0045555C">
        <w:rPr>
          <w:rFonts w:eastAsiaTheme="majorEastAsia" w:cs="Arial"/>
          <w:sz w:val="24"/>
          <w:szCs w:val="24"/>
          <w:lang w:val="en-GB"/>
        </w:rPr>
        <w:t xml:space="preserve">This could include but not limited to: </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fixing the AC at ideal temperatures during Winter and summer, </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avoid using machines during peak time, </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avoid using the personal heaters,</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switch off the lights when not in use,</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close the windows if the AC is switched on,</w:t>
      </w:r>
    </w:p>
    <w:p w:rsidR="0045555C" w:rsidRPr="0045555C" w:rsidRDefault="0045555C" w:rsidP="0045555C">
      <w:pPr>
        <w:numPr>
          <w:ilvl w:val="0"/>
          <w:numId w:val="16"/>
        </w:numPr>
        <w:jc w:val="both"/>
        <w:rPr>
          <w:rFonts w:eastAsiaTheme="majorEastAsia" w:cs="Arial"/>
          <w:sz w:val="24"/>
          <w:szCs w:val="24"/>
          <w:lang w:val="en-GB"/>
        </w:rPr>
      </w:pPr>
      <w:r w:rsidRPr="0045555C">
        <w:rPr>
          <w:rFonts w:eastAsiaTheme="majorEastAsia" w:cs="Arial"/>
          <w:sz w:val="24"/>
          <w:szCs w:val="24"/>
          <w:lang w:val="en-GB"/>
        </w:rPr>
        <w:t xml:space="preserve">Purchase only smart labelled appliances, and others.  </w:t>
      </w:r>
    </w:p>
    <w:p w:rsidR="006A4CE8" w:rsidRPr="00730FFA" w:rsidRDefault="006A4CE8" w:rsidP="00EF4142">
      <w:pPr>
        <w:jc w:val="both"/>
        <w:rPr>
          <w:b/>
          <w:bCs/>
          <w:sz w:val="24"/>
          <w:szCs w:val="24"/>
          <w:u w:val="single"/>
        </w:rPr>
      </w:pPr>
    </w:p>
    <w:p w:rsidR="00CD4E13" w:rsidRPr="00EF4142" w:rsidRDefault="00746590" w:rsidP="00113C4A">
      <w:pPr>
        <w:pStyle w:val="ListParagraph"/>
        <w:numPr>
          <w:ilvl w:val="0"/>
          <w:numId w:val="6"/>
        </w:numPr>
        <w:ind w:left="0"/>
        <w:jc w:val="both"/>
        <w:outlineLvl w:val="0"/>
        <w:rPr>
          <w:rFonts w:eastAsiaTheme="majorEastAsia" w:cs="Arial"/>
          <w:b/>
          <w:bCs/>
          <w:sz w:val="28"/>
          <w:szCs w:val="28"/>
        </w:rPr>
      </w:pPr>
      <w:bookmarkStart w:id="12" w:name="_Toc435736015"/>
      <w:r w:rsidRPr="00EF4142">
        <w:rPr>
          <w:rFonts w:eastAsiaTheme="majorEastAsia" w:cs="Arial"/>
          <w:b/>
          <w:bCs/>
          <w:sz w:val="28"/>
          <w:szCs w:val="28"/>
        </w:rPr>
        <w:t xml:space="preserve">DesiredAdded-value elements due to the EE and RE </w:t>
      </w:r>
      <w:r w:rsidR="00FD66F9" w:rsidRPr="00EF4142">
        <w:rPr>
          <w:rFonts w:eastAsiaTheme="majorEastAsia" w:cs="Arial"/>
          <w:b/>
          <w:bCs/>
          <w:sz w:val="28"/>
          <w:szCs w:val="28"/>
        </w:rPr>
        <w:t>strategy</w:t>
      </w:r>
      <w:bookmarkEnd w:id="12"/>
    </w:p>
    <w:p w:rsidR="00A56323" w:rsidRPr="00A56323" w:rsidRDefault="00A56323" w:rsidP="00FD66F9">
      <w:pPr>
        <w:jc w:val="both"/>
        <w:rPr>
          <w:rFonts w:ascii="Calibri" w:eastAsia="Times New Roman" w:hAnsi="Calibri" w:cs="Arial"/>
          <w:sz w:val="24"/>
          <w:szCs w:val="24"/>
          <w:lang w:val="en-GB"/>
        </w:rPr>
      </w:pPr>
      <w:r w:rsidRPr="00A56323">
        <w:rPr>
          <w:rFonts w:ascii="Calibri" w:eastAsia="Times New Roman" w:hAnsi="Calibri" w:cs="Arial"/>
          <w:sz w:val="24"/>
          <w:szCs w:val="24"/>
          <w:lang w:val="en-GB"/>
        </w:rPr>
        <w:t xml:space="preserve">The particular added values of this </w:t>
      </w:r>
      <w:r w:rsidR="00FD66F9">
        <w:rPr>
          <w:rFonts w:ascii="Calibri" w:eastAsia="Times New Roman" w:hAnsi="Calibri" w:cs="Arial"/>
          <w:sz w:val="24"/>
          <w:szCs w:val="24"/>
          <w:lang w:val="en-GB"/>
        </w:rPr>
        <w:t>Strategy</w:t>
      </w:r>
      <w:r w:rsidRPr="00A56323">
        <w:rPr>
          <w:rFonts w:ascii="Calibri" w:eastAsia="Times New Roman" w:hAnsi="Calibri" w:cs="Arial"/>
          <w:sz w:val="24"/>
          <w:szCs w:val="24"/>
          <w:lang w:val="en-GB"/>
        </w:rPr>
        <w:t xml:space="preserve"> are as follows:</w:t>
      </w:r>
    </w:p>
    <w:p w:rsidR="00A56323" w:rsidRPr="00A56323" w:rsidRDefault="00A56323" w:rsidP="00A56323">
      <w:pPr>
        <w:numPr>
          <w:ilvl w:val="0"/>
          <w:numId w:val="13"/>
        </w:numPr>
        <w:tabs>
          <w:tab w:val="num" w:pos="687"/>
        </w:tabs>
        <w:jc w:val="both"/>
        <w:rPr>
          <w:rFonts w:ascii="Calibri" w:eastAsia="Times New Roman" w:hAnsi="Calibri" w:cs="Arial"/>
          <w:sz w:val="24"/>
          <w:szCs w:val="24"/>
          <w:lang w:val="en-GB"/>
        </w:rPr>
      </w:pPr>
      <w:r w:rsidRPr="00A56323">
        <w:rPr>
          <w:rFonts w:ascii="Calibri" w:eastAsia="Times New Roman" w:hAnsi="Calibri" w:cs="Arial"/>
          <w:sz w:val="24"/>
          <w:szCs w:val="24"/>
          <w:lang w:val="en-GB"/>
        </w:rPr>
        <w:t>Foreseen activities will contribute to the increase in energy efficiency, energy savings and renewable energy sources and to reduction of CO</w:t>
      </w:r>
      <w:r w:rsidRPr="00FD66F9">
        <w:rPr>
          <w:rFonts w:ascii="Calibri" w:eastAsia="Times New Roman" w:hAnsi="Calibri" w:cs="Arial"/>
          <w:sz w:val="24"/>
          <w:szCs w:val="24"/>
          <w:vertAlign w:val="subscript"/>
          <w:lang w:val="en-GB"/>
        </w:rPr>
        <w:t>2</w:t>
      </w:r>
      <w:r w:rsidRPr="00A56323">
        <w:rPr>
          <w:rFonts w:ascii="Calibri" w:eastAsia="Times New Roman" w:hAnsi="Calibri" w:cs="Arial"/>
          <w:sz w:val="24"/>
          <w:szCs w:val="24"/>
          <w:lang w:val="en-GB"/>
        </w:rPr>
        <w:t xml:space="preserve"> emissions and adapting to climate change.</w:t>
      </w:r>
    </w:p>
    <w:p w:rsidR="00A56323" w:rsidRPr="00A56323" w:rsidRDefault="00A56323" w:rsidP="00A56323">
      <w:pPr>
        <w:numPr>
          <w:ilvl w:val="0"/>
          <w:numId w:val="13"/>
        </w:numPr>
        <w:tabs>
          <w:tab w:val="num" w:pos="687"/>
        </w:tabs>
        <w:jc w:val="both"/>
        <w:rPr>
          <w:rFonts w:ascii="Calibri" w:eastAsia="Times New Roman" w:hAnsi="Calibri" w:cs="Arial"/>
          <w:sz w:val="24"/>
          <w:szCs w:val="24"/>
          <w:lang w:val="en-GB"/>
        </w:rPr>
      </w:pPr>
      <w:r w:rsidRPr="00A56323">
        <w:rPr>
          <w:rFonts w:ascii="Calibri" w:eastAsia="Times New Roman" w:hAnsi="Calibri" w:cs="Arial"/>
          <w:sz w:val="24"/>
          <w:szCs w:val="24"/>
          <w:lang w:val="en-GB"/>
        </w:rPr>
        <w:t>Stimulate the local economy and make the best use of locally available resources such as engineering services, and energy auditors, and local vendors</w:t>
      </w:r>
    </w:p>
    <w:p w:rsidR="00A56323" w:rsidRPr="00A56323" w:rsidRDefault="00A56323" w:rsidP="00A56323">
      <w:pPr>
        <w:numPr>
          <w:ilvl w:val="0"/>
          <w:numId w:val="13"/>
        </w:numPr>
        <w:tabs>
          <w:tab w:val="num" w:pos="687"/>
        </w:tabs>
        <w:jc w:val="both"/>
        <w:rPr>
          <w:rFonts w:ascii="Calibri" w:eastAsia="Times New Roman" w:hAnsi="Calibri" w:cs="Arial"/>
          <w:sz w:val="24"/>
          <w:szCs w:val="24"/>
          <w:lang w:val="en-GB"/>
        </w:rPr>
      </w:pPr>
      <w:r w:rsidRPr="00A56323">
        <w:rPr>
          <w:rFonts w:ascii="Calibri" w:eastAsia="Times New Roman" w:hAnsi="Calibri" w:cs="Arial"/>
          <w:sz w:val="24"/>
          <w:szCs w:val="24"/>
          <w:lang w:val="en-GB"/>
        </w:rPr>
        <w:t>Gender has been considered in involving women active NGOs in the awareness workshops to be a partner in this activity and to further forge their positive impact on the local women</w:t>
      </w:r>
      <w:r w:rsidR="00FD66F9">
        <w:rPr>
          <w:rFonts w:ascii="Calibri" w:eastAsia="Times New Roman" w:hAnsi="Calibri" w:cs="Arial"/>
          <w:sz w:val="24"/>
          <w:szCs w:val="24"/>
          <w:lang w:val="en-GB"/>
        </w:rPr>
        <w:t>.</w:t>
      </w:r>
    </w:p>
    <w:p w:rsidR="00CD4E13" w:rsidRPr="00007DAF" w:rsidRDefault="00A56323" w:rsidP="00007DAF">
      <w:pPr>
        <w:numPr>
          <w:ilvl w:val="0"/>
          <w:numId w:val="13"/>
        </w:numPr>
        <w:tabs>
          <w:tab w:val="num" w:pos="687"/>
        </w:tabs>
        <w:jc w:val="both"/>
        <w:rPr>
          <w:rFonts w:ascii="Calibri" w:eastAsia="Times New Roman" w:hAnsi="Calibri" w:cs="Arial"/>
          <w:sz w:val="24"/>
          <w:szCs w:val="24"/>
          <w:lang w:val="en-GB"/>
        </w:rPr>
      </w:pPr>
      <w:r w:rsidRPr="00A56323">
        <w:rPr>
          <w:rFonts w:ascii="Calibri" w:eastAsia="Times New Roman" w:hAnsi="Calibri" w:cs="Arial"/>
          <w:sz w:val="24"/>
          <w:szCs w:val="24"/>
          <w:lang w:val="en-GB"/>
        </w:rPr>
        <w:t>Sahab Municipality became a member of the Convention of Mayors and is benefiting from the provided technical and financial support.</w:t>
      </w:r>
    </w:p>
    <w:sectPr w:rsidR="00CD4E13" w:rsidRPr="00007DAF" w:rsidSect="00CE340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E5E0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B5" w:rsidRDefault="003C69B5" w:rsidP="0040015E">
      <w:pPr>
        <w:spacing w:after="0" w:line="240" w:lineRule="auto"/>
      </w:pPr>
      <w:r>
        <w:separator/>
      </w:r>
    </w:p>
  </w:endnote>
  <w:endnote w:type="continuationSeparator" w:id="1">
    <w:p w:rsidR="003C69B5" w:rsidRDefault="003C69B5" w:rsidP="00400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42" w:rsidRDefault="003A3D42" w:rsidP="0036265E">
    <w:pPr>
      <w:pStyle w:val="Footer"/>
      <w:tabs>
        <w:tab w:val="right" w:pos="9639"/>
      </w:tabs>
    </w:pPr>
    <w:r>
      <w:rPr>
        <w:noProof/>
      </w:rPr>
      <w:drawing>
        <wp:anchor distT="0" distB="0" distL="114300" distR="114300" simplePos="0" relativeHeight="251660288" behindDoc="1" locked="0" layoutInCell="1" allowOverlap="1">
          <wp:simplePos x="0" y="0"/>
          <wp:positionH relativeFrom="column">
            <wp:posOffset>5299075</wp:posOffset>
          </wp:positionH>
          <wp:positionV relativeFrom="paragraph">
            <wp:posOffset>79375</wp:posOffset>
          </wp:positionV>
          <wp:extent cx="671830" cy="650875"/>
          <wp:effectExtent l="0" t="0" r="0" b="0"/>
          <wp:wrapNone/>
          <wp:docPr id="26" name="Picture 16" descr="C:\Users\Administrator\Desktop\logo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logo a.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048" r="32035" b="46154"/>
                  <a:stretch/>
                </pic:blipFill>
                <pic:spPr bwMode="auto">
                  <a:xfrm>
                    <a:off x="0" y="0"/>
                    <a:ext cx="671830" cy="650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41FFD">
      <w:rPr>
        <w:noProof/>
        <w:color w:val="A6A6A6" w:themeColor="background1" w:themeShade="A6"/>
      </w:rPr>
      <w:drawing>
        <wp:anchor distT="0" distB="0" distL="114300" distR="114300" simplePos="0" relativeHeight="251659264" behindDoc="1" locked="0" layoutInCell="1" allowOverlap="1">
          <wp:simplePos x="0" y="0"/>
          <wp:positionH relativeFrom="column">
            <wp:posOffset>1374140</wp:posOffset>
          </wp:positionH>
          <wp:positionV relativeFrom="paragraph">
            <wp:posOffset>-204009</wp:posOffset>
          </wp:positionV>
          <wp:extent cx="5249545" cy="1026795"/>
          <wp:effectExtent l="0" t="0" r="8255" b="1905"/>
          <wp:wrapNone/>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Pag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49545" cy="1026795"/>
                  </a:xfrm>
                  <a:prstGeom prst="rect">
                    <a:avLst/>
                  </a:prstGeom>
                </pic:spPr>
              </pic:pic>
            </a:graphicData>
          </a:graphic>
        </wp:anchor>
      </w:drawing>
    </w:r>
  </w:p>
  <w:p w:rsidR="003A3D42" w:rsidRDefault="003A3D42" w:rsidP="0036265E">
    <w:pPr>
      <w:pStyle w:val="Footer"/>
      <w:tabs>
        <w:tab w:val="right" w:pos="9639"/>
      </w:tabs>
    </w:pPr>
    <w:r>
      <w:rPr>
        <w:color w:val="808080" w:themeColor="background1" w:themeShade="80"/>
        <w:spacing w:val="60"/>
      </w:rPr>
      <w:t>Page</w:t>
    </w:r>
    <w:r>
      <w:t xml:space="preserve"> | </w:t>
    </w:r>
    <w:r w:rsidRPr="00304E58">
      <w:fldChar w:fldCharType="begin"/>
    </w:r>
    <w:r>
      <w:instrText xml:space="preserve"> PAGE   \* MERGEFORMAT </w:instrText>
    </w:r>
    <w:r w:rsidRPr="00304E58">
      <w:fldChar w:fldCharType="separate"/>
    </w:r>
    <w:r w:rsidR="00544829" w:rsidRPr="00544829">
      <w:rPr>
        <w:b/>
        <w:bCs/>
        <w:noProof/>
      </w:rPr>
      <w:t>3</w:t>
    </w:r>
    <w:r>
      <w:rPr>
        <w:b/>
        <w:bCs/>
        <w:noProof/>
      </w:rPr>
      <w:fldChar w:fldCharType="end"/>
    </w:r>
    <w:r>
      <w:tab/>
    </w:r>
    <w:r>
      <w:tab/>
    </w:r>
  </w:p>
  <w:p w:rsidR="003A3D42" w:rsidRDefault="003A3D42" w:rsidP="0036265E">
    <w:pPr>
      <w:pStyle w:val="Footer"/>
    </w:pPr>
  </w:p>
  <w:p w:rsidR="003A3D42" w:rsidRDefault="003A3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B5" w:rsidRDefault="003C69B5" w:rsidP="0040015E">
      <w:pPr>
        <w:spacing w:after="0" w:line="240" w:lineRule="auto"/>
      </w:pPr>
      <w:r>
        <w:separator/>
      </w:r>
    </w:p>
  </w:footnote>
  <w:footnote w:type="continuationSeparator" w:id="1">
    <w:p w:rsidR="003C69B5" w:rsidRDefault="003C69B5" w:rsidP="00400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149"/>
      <w:gridCol w:w="1441"/>
    </w:tblGrid>
    <w:tr w:rsidR="003A3D42" w:rsidRPr="00943FCB" w:rsidTr="00AD1A67">
      <w:trPr>
        <w:trHeight w:val="915"/>
      </w:trPr>
      <w:tc>
        <w:tcPr>
          <w:tcW w:w="11472" w:type="dxa"/>
          <w:tcBorders>
            <w:bottom w:val="single" w:sz="18" w:space="0" w:color="808080"/>
          </w:tcBorders>
          <w:vAlign w:val="center"/>
        </w:tcPr>
        <w:p w:rsidR="003A3D42" w:rsidRPr="009D7711" w:rsidRDefault="003A3D42" w:rsidP="00AD1A67">
          <w:pPr>
            <w:pStyle w:val="Header"/>
            <w:jc w:val="center"/>
            <w:rPr>
              <w:sz w:val="20"/>
            </w:rPr>
          </w:pPr>
          <w:r>
            <w:rPr>
              <w:sz w:val="20"/>
            </w:rPr>
            <w:t>RE &amp; EE Development Strategy – Sahab Municipality</w:t>
          </w:r>
        </w:p>
      </w:tc>
      <w:tc>
        <w:tcPr>
          <w:tcW w:w="1632" w:type="dxa"/>
          <w:tcBorders>
            <w:bottom w:val="single" w:sz="18" w:space="0" w:color="808080"/>
          </w:tcBorders>
          <w:vAlign w:val="center"/>
        </w:tcPr>
        <w:p w:rsidR="003A3D42" w:rsidRPr="009D7711" w:rsidRDefault="003A3D42" w:rsidP="00AD1A67">
          <w:pPr>
            <w:pStyle w:val="Header"/>
            <w:jc w:val="center"/>
            <w:rPr>
              <w:b/>
              <w:bCs/>
              <w:sz w:val="20"/>
            </w:rPr>
          </w:pPr>
          <w:r>
            <w:rPr>
              <w:noProof/>
            </w:rPr>
            <w:drawing>
              <wp:inline distT="0" distB="0" distL="0" distR="0">
                <wp:extent cx="518984" cy="531772"/>
                <wp:effectExtent l="0" t="0" r="0" b="1905"/>
                <wp:docPr id="25" name="Picture 19" descr="C:\Users\3102\Desktop\NERC Fina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102\Desktop\NERC Final Logo.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3" cy="533851"/>
                        </a:xfrm>
                        <a:prstGeom prst="rect">
                          <a:avLst/>
                        </a:prstGeom>
                        <a:noFill/>
                        <a:ln>
                          <a:noFill/>
                        </a:ln>
                      </pic:spPr>
                    </pic:pic>
                  </a:graphicData>
                </a:graphic>
              </wp:inline>
            </w:drawing>
          </w:r>
          <w:r>
            <w:rPr>
              <w:sz w:val="20"/>
            </w:rPr>
            <w:t>RSS/NERC</w:t>
          </w:r>
        </w:p>
      </w:tc>
    </w:tr>
  </w:tbl>
  <w:p w:rsidR="003A3D42" w:rsidRPr="009D7711" w:rsidRDefault="003A3D42" w:rsidP="0036265E">
    <w:pPr>
      <w:pStyle w:val="Header"/>
    </w:pPr>
  </w:p>
  <w:p w:rsidR="003A3D42" w:rsidRDefault="003A3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6CB"/>
    <w:multiLevelType w:val="hybridMultilevel"/>
    <w:tmpl w:val="3E5E0E52"/>
    <w:lvl w:ilvl="0" w:tplc="54129D8A">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85C1B"/>
    <w:multiLevelType w:val="hybridMultilevel"/>
    <w:tmpl w:val="D3700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47B5B"/>
    <w:multiLevelType w:val="hybridMultilevel"/>
    <w:tmpl w:val="FA6498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nsid w:val="11E07D5A"/>
    <w:multiLevelType w:val="hybridMultilevel"/>
    <w:tmpl w:val="87E6073A"/>
    <w:lvl w:ilvl="0" w:tplc="07DE0FC2">
      <w:start w:val="1"/>
      <w:numFmt w:val="decimal"/>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5D0209"/>
    <w:multiLevelType w:val="hybridMultilevel"/>
    <w:tmpl w:val="40349538"/>
    <w:lvl w:ilvl="0" w:tplc="A3C8DCCC">
      <w:start w:val="1"/>
      <w:numFmt w:val="bullet"/>
      <w:lvlText w:val="-"/>
      <w:lvlJc w:val="left"/>
      <w:pPr>
        <w:ind w:left="360" w:hanging="360"/>
      </w:pPr>
      <w:rPr>
        <w:rFonts w:ascii="Calibri" w:eastAsiaTheme="majorEastAsia"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781DC4"/>
    <w:multiLevelType w:val="hybridMultilevel"/>
    <w:tmpl w:val="DA104A84"/>
    <w:lvl w:ilvl="0" w:tplc="318C27FA">
      <w:start w:val="1"/>
      <w:numFmt w:val="bullet"/>
      <w:lvlText w:val=""/>
      <w:lvlJc w:val="left"/>
      <w:rPr>
        <w:rFonts w:ascii="Symbol" w:hAnsi="Symbol" w:hint="default"/>
      </w:rPr>
    </w:lvl>
    <w:lvl w:ilvl="1" w:tplc="0809000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4406D2"/>
    <w:multiLevelType w:val="hybridMultilevel"/>
    <w:tmpl w:val="445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1F67E8"/>
    <w:multiLevelType w:val="multilevel"/>
    <w:tmpl w:val="949000B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
    <w:nsid w:val="48F64A63"/>
    <w:multiLevelType w:val="hybridMultilevel"/>
    <w:tmpl w:val="1436C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040A93"/>
    <w:multiLevelType w:val="multilevel"/>
    <w:tmpl w:val="D15C7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08074A8"/>
    <w:multiLevelType w:val="hybridMultilevel"/>
    <w:tmpl w:val="39CCBF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9D692F"/>
    <w:multiLevelType w:val="multilevel"/>
    <w:tmpl w:val="13C02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432C42"/>
    <w:multiLevelType w:val="hybridMultilevel"/>
    <w:tmpl w:val="160C2E10"/>
    <w:lvl w:ilvl="0" w:tplc="0409000F">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180" w:hanging="180"/>
      </w:pPr>
    </w:lvl>
    <w:lvl w:ilvl="3" w:tplc="54F8072E">
      <w:start w:val="15"/>
      <w:numFmt w:val="bullet"/>
      <w:lvlText w:val="-"/>
      <w:lvlJc w:val="left"/>
      <w:pPr>
        <w:ind w:left="644" w:hanging="360"/>
      </w:pPr>
      <w:rPr>
        <w:rFonts w:ascii="Arial" w:eastAsia="Times New Roman" w:hAnsi="Arial" w:cs="Arial" w:hint="default"/>
      </w:rPr>
    </w:lvl>
    <w:lvl w:ilvl="4" w:tplc="62C236E8">
      <w:start w:val="1"/>
      <w:numFmt w:val="decimal"/>
      <w:lvlText w:val="(%5)"/>
      <w:lvlJc w:val="left"/>
      <w:pPr>
        <w:ind w:left="36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824E4F"/>
    <w:multiLevelType w:val="hybridMultilevel"/>
    <w:tmpl w:val="D2AA47FA"/>
    <w:lvl w:ilvl="0" w:tplc="9D2407C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F54A88"/>
    <w:multiLevelType w:val="multilevel"/>
    <w:tmpl w:val="698A34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6A807EDE"/>
    <w:multiLevelType w:val="multilevel"/>
    <w:tmpl w:val="E8102C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E573C32"/>
    <w:multiLevelType w:val="hybridMultilevel"/>
    <w:tmpl w:val="F19A5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A25AA9"/>
    <w:multiLevelType w:val="hybridMultilevel"/>
    <w:tmpl w:val="A24CB9F8"/>
    <w:lvl w:ilvl="0" w:tplc="81CCEE90">
      <w:start w:val="2"/>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79EB721F"/>
    <w:multiLevelType w:val="hybridMultilevel"/>
    <w:tmpl w:val="DA00C572"/>
    <w:lvl w:ilvl="0" w:tplc="3BF48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13"/>
  </w:num>
  <w:num w:numId="5">
    <w:abstractNumId w:val="2"/>
  </w:num>
  <w:num w:numId="6">
    <w:abstractNumId w:val="15"/>
  </w:num>
  <w:num w:numId="7">
    <w:abstractNumId w:val="7"/>
  </w:num>
  <w:num w:numId="8">
    <w:abstractNumId w:val="6"/>
  </w:num>
  <w:num w:numId="9">
    <w:abstractNumId w:val="17"/>
  </w:num>
  <w:num w:numId="10">
    <w:abstractNumId w:val="3"/>
  </w:num>
  <w:num w:numId="11">
    <w:abstractNumId w:val="9"/>
  </w:num>
  <w:num w:numId="12">
    <w:abstractNumId w:val="0"/>
  </w:num>
  <w:num w:numId="13">
    <w:abstractNumId w:val="1"/>
  </w:num>
  <w:num w:numId="14">
    <w:abstractNumId w:val="18"/>
  </w:num>
  <w:num w:numId="15">
    <w:abstractNumId w:val="14"/>
  </w:num>
  <w:num w:numId="16">
    <w:abstractNumId w:val="10"/>
  </w:num>
  <w:num w:numId="17">
    <w:abstractNumId w:val="11"/>
  </w:num>
  <w:num w:numId="18">
    <w:abstractNumId w:val="4"/>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iq zubi">
    <w15:presenceInfo w15:providerId="AD" w15:userId="S-1-5-21-79918899-536119726-3441412446-7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1D35"/>
    <w:rsid w:val="00007DAF"/>
    <w:rsid w:val="000115C0"/>
    <w:rsid w:val="00012074"/>
    <w:rsid w:val="00016E72"/>
    <w:rsid w:val="00036326"/>
    <w:rsid w:val="00036A7E"/>
    <w:rsid w:val="0004040F"/>
    <w:rsid w:val="0004595E"/>
    <w:rsid w:val="00053452"/>
    <w:rsid w:val="00055D71"/>
    <w:rsid w:val="00067543"/>
    <w:rsid w:val="000761DE"/>
    <w:rsid w:val="00091402"/>
    <w:rsid w:val="000A3829"/>
    <w:rsid w:val="000D0F0C"/>
    <w:rsid w:val="000D266B"/>
    <w:rsid w:val="000D3100"/>
    <w:rsid w:val="000F523B"/>
    <w:rsid w:val="00100DAB"/>
    <w:rsid w:val="00113C4A"/>
    <w:rsid w:val="001208C8"/>
    <w:rsid w:val="00140C0A"/>
    <w:rsid w:val="00154810"/>
    <w:rsid w:val="00157018"/>
    <w:rsid w:val="0017433B"/>
    <w:rsid w:val="001A5AFD"/>
    <w:rsid w:val="001B564B"/>
    <w:rsid w:val="001B5A43"/>
    <w:rsid w:val="001C2248"/>
    <w:rsid w:val="001C3EA4"/>
    <w:rsid w:val="001E5968"/>
    <w:rsid w:val="001E5A0B"/>
    <w:rsid w:val="001E7178"/>
    <w:rsid w:val="001F6212"/>
    <w:rsid w:val="00204FA9"/>
    <w:rsid w:val="002075B2"/>
    <w:rsid w:val="002170D2"/>
    <w:rsid w:val="002170E9"/>
    <w:rsid w:val="00224B03"/>
    <w:rsid w:val="002323AB"/>
    <w:rsid w:val="00235A7F"/>
    <w:rsid w:val="00250D5F"/>
    <w:rsid w:val="00267458"/>
    <w:rsid w:val="00270A2B"/>
    <w:rsid w:val="0029424D"/>
    <w:rsid w:val="0029460E"/>
    <w:rsid w:val="002B0632"/>
    <w:rsid w:val="002B62B4"/>
    <w:rsid w:val="002B6814"/>
    <w:rsid w:val="002D6CEC"/>
    <w:rsid w:val="002F527B"/>
    <w:rsid w:val="002F52E2"/>
    <w:rsid w:val="00301C88"/>
    <w:rsid w:val="00302150"/>
    <w:rsid w:val="00304E58"/>
    <w:rsid w:val="0031655B"/>
    <w:rsid w:val="00316FCD"/>
    <w:rsid w:val="00322010"/>
    <w:rsid w:val="003266E3"/>
    <w:rsid w:val="003270BF"/>
    <w:rsid w:val="003426C8"/>
    <w:rsid w:val="00343992"/>
    <w:rsid w:val="00356F99"/>
    <w:rsid w:val="0035755B"/>
    <w:rsid w:val="0036265E"/>
    <w:rsid w:val="003645FE"/>
    <w:rsid w:val="00371F73"/>
    <w:rsid w:val="00376052"/>
    <w:rsid w:val="003804D9"/>
    <w:rsid w:val="00385891"/>
    <w:rsid w:val="00385C86"/>
    <w:rsid w:val="003A3D42"/>
    <w:rsid w:val="003A4422"/>
    <w:rsid w:val="003A5B4D"/>
    <w:rsid w:val="003A73BA"/>
    <w:rsid w:val="003B6D62"/>
    <w:rsid w:val="003C360E"/>
    <w:rsid w:val="003C3F84"/>
    <w:rsid w:val="003C4972"/>
    <w:rsid w:val="003C4D0E"/>
    <w:rsid w:val="003C69B5"/>
    <w:rsid w:val="003D785E"/>
    <w:rsid w:val="003E022E"/>
    <w:rsid w:val="003E34BD"/>
    <w:rsid w:val="003E4A7A"/>
    <w:rsid w:val="0040015E"/>
    <w:rsid w:val="00400536"/>
    <w:rsid w:val="0040151D"/>
    <w:rsid w:val="00407DD9"/>
    <w:rsid w:val="00421BD4"/>
    <w:rsid w:val="004223F1"/>
    <w:rsid w:val="004266E5"/>
    <w:rsid w:val="00431CCA"/>
    <w:rsid w:val="00432B71"/>
    <w:rsid w:val="0043373B"/>
    <w:rsid w:val="0044544E"/>
    <w:rsid w:val="004476E5"/>
    <w:rsid w:val="0045555C"/>
    <w:rsid w:val="00466F27"/>
    <w:rsid w:val="004677C1"/>
    <w:rsid w:val="00467BDB"/>
    <w:rsid w:val="0047086C"/>
    <w:rsid w:val="00484C8C"/>
    <w:rsid w:val="00490A70"/>
    <w:rsid w:val="004A5810"/>
    <w:rsid w:val="004A66AA"/>
    <w:rsid w:val="004B174A"/>
    <w:rsid w:val="004B4E9A"/>
    <w:rsid w:val="004C60A1"/>
    <w:rsid w:val="004C6A67"/>
    <w:rsid w:val="004C72E4"/>
    <w:rsid w:val="004D0F15"/>
    <w:rsid w:val="004E3F42"/>
    <w:rsid w:val="004E746F"/>
    <w:rsid w:val="005029FA"/>
    <w:rsid w:val="005037FE"/>
    <w:rsid w:val="0051182D"/>
    <w:rsid w:val="00514BEB"/>
    <w:rsid w:val="005175F0"/>
    <w:rsid w:val="0052350A"/>
    <w:rsid w:val="00525719"/>
    <w:rsid w:val="00526552"/>
    <w:rsid w:val="005310E5"/>
    <w:rsid w:val="0053201C"/>
    <w:rsid w:val="0053528A"/>
    <w:rsid w:val="00536375"/>
    <w:rsid w:val="005376BC"/>
    <w:rsid w:val="00544829"/>
    <w:rsid w:val="00587EE5"/>
    <w:rsid w:val="00594407"/>
    <w:rsid w:val="00595ECE"/>
    <w:rsid w:val="005963E0"/>
    <w:rsid w:val="005A559A"/>
    <w:rsid w:val="005C11EF"/>
    <w:rsid w:val="005C17CD"/>
    <w:rsid w:val="005D2F8D"/>
    <w:rsid w:val="005D3F53"/>
    <w:rsid w:val="005D6A1F"/>
    <w:rsid w:val="005E13E8"/>
    <w:rsid w:val="005F047A"/>
    <w:rsid w:val="005F1DBE"/>
    <w:rsid w:val="0060095D"/>
    <w:rsid w:val="006058E2"/>
    <w:rsid w:val="00612607"/>
    <w:rsid w:val="00614847"/>
    <w:rsid w:val="00616A73"/>
    <w:rsid w:val="00637C43"/>
    <w:rsid w:val="006411DA"/>
    <w:rsid w:val="00643A41"/>
    <w:rsid w:val="00643A47"/>
    <w:rsid w:val="00653253"/>
    <w:rsid w:val="00654BBA"/>
    <w:rsid w:val="00654E01"/>
    <w:rsid w:val="00655FB5"/>
    <w:rsid w:val="00664AB6"/>
    <w:rsid w:val="00696EFC"/>
    <w:rsid w:val="006A4CE8"/>
    <w:rsid w:val="006A5D28"/>
    <w:rsid w:val="006B3FF9"/>
    <w:rsid w:val="006B4BD7"/>
    <w:rsid w:val="006C46C8"/>
    <w:rsid w:val="006D14A8"/>
    <w:rsid w:val="006D600A"/>
    <w:rsid w:val="006E47FC"/>
    <w:rsid w:val="006E7C05"/>
    <w:rsid w:val="006F3BD3"/>
    <w:rsid w:val="006F3E51"/>
    <w:rsid w:val="007012B4"/>
    <w:rsid w:val="007040DE"/>
    <w:rsid w:val="00710E5F"/>
    <w:rsid w:val="007179B3"/>
    <w:rsid w:val="0073081D"/>
    <w:rsid w:val="00730FFA"/>
    <w:rsid w:val="0073398D"/>
    <w:rsid w:val="00734B62"/>
    <w:rsid w:val="007375D9"/>
    <w:rsid w:val="0073760A"/>
    <w:rsid w:val="00746590"/>
    <w:rsid w:val="00764612"/>
    <w:rsid w:val="00770A4D"/>
    <w:rsid w:val="00773374"/>
    <w:rsid w:val="00775354"/>
    <w:rsid w:val="00790580"/>
    <w:rsid w:val="007930A4"/>
    <w:rsid w:val="007A552F"/>
    <w:rsid w:val="007A57B4"/>
    <w:rsid w:val="007D751F"/>
    <w:rsid w:val="007F5063"/>
    <w:rsid w:val="007F7AB2"/>
    <w:rsid w:val="008042B8"/>
    <w:rsid w:val="0080662A"/>
    <w:rsid w:val="00810C39"/>
    <w:rsid w:val="0081537D"/>
    <w:rsid w:val="00815D53"/>
    <w:rsid w:val="00815DC4"/>
    <w:rsid w:val="00823FFC"/>
    <w:rsid w:val="0083693B"/>
    <w:rsid w:val="00845FC8"/>
    <w:rsid w:val="0084790A"/>
    <w:rsid w:val="00866D53"/>
    <w:rsid w:val="00873006"/>
    <w:rsid w:val="00880E80"/>
    <w:rsid w:val="00890029"/>
    <w:rsid w:val="00893BBB"/>
    <w:rsid w:val="008A12A4"/>
    <w:rsid w:val="008B65BD"/>
    <w:rsid w:val="008C23FA"/>
    <w:rsid w:val="008C7D21"/>
    <w:rsid w:val="008F61AD"/>
    <w:rsid w:val="008F6436"/>
    <w:rsid w:val="00900AF9"/>
    <w:rsid w:val="0090121C"/>
    <w:rsid w:val="00922701"/>
    <w:rsid w:val="0095354F"/>
    <w:rsid w:val="0096074A"/>
    <w:rsid w:val="0096545E"/>
    <w:rsid w:val="0098307B"/>
    <w:rsid w:val="0098796D"/>
    <w:rsid w:val="00995027"/>
    <w:rsid w:val="009A1E48"/>
    <w:rsid w:val="009B0F0E"/>
    <w:rsid w:val="009C12C8"/>
    <w:rsid w:val="009D577F"/>
    <w:rsid w:val="009F5604"/>
    <w:rsid w:val="009F7213"/>
    <w:rsid w:val="00A0132B"/>
    <w:rsid w:val="00A0270A"/>
    <w:rsid w:val="00A078FC"/>
    <w:rsid w:val="00A166C2"/>
    <w:rsid w:val="00A237E7"/>
    <w:rsid w:val="00A25FC2"/>
    <w:rsid w:val="00A26933"/>
    <w:rsid w:val="00A27EDA"/>
    <w:rsid w:val="00A30757"/>
    <w:rsid w:val="00A3142E"/>
    <w:rsid w:val="00A3685D"/>
    <w:rsid w:val="00A36EBB"/>
    <w:rsid w:val="00A37E2C"/>
    <w:rsid w:val="00A44C4B"/>
    <w:rsid w:val="00A556F8"/>
    <w:rsid w:val="00A56323"/>
    <w:rsid w:val="00A645A9"/>
    <w:rsid w:val="00A7447A"/>
    <w:rsid w:val="00A764A8"/>
    <w:rsid w:val="00A76BE5"/>
    <w:rsid w:val="00A9306D"/>
    <w:rsid w:val="00A95BF9"/>
    <w:rsid w:val="00AA114A"/>
    <w:rsid w:val="00AA4305"/>
    <w:rsid w:val="00AA7EAE"/>
    <w:rsid w:val="00AB0248"/>
    <w:rsid w:val="00AB52B8"/>
    <w:rsid w:val="00AB5DC8"/>
    <w:rsid w:val="00AC7D9A"/>
    <w:rsid w:val="00AD0E09"/>
    <w:rsid w:val="00AD1A67"/>
    <w:rsid w:val="00AD2ADB"/>
    <w:rsid w:val="00AD7AE2"/>
    <w:rsid w:val="00AD7DDB"/>
    <w:rsid w:val="00AE4B7B"/>
    <w:rsid w:val="00B0738B"/>
    <w:rsid w:val="00B11742"/>
    <w:rsid w:val="00B12B88"/>
    <w:rsid w:val="00B17A8A"/>
    <w:rsid w:val="00B304C2"/>
    <w:rsid w:val="00B30989"/>
    <w:rsid w:val="00B457FE"/>
    <w:rsid w:val="00B50172"/>
    <w:rsid w:val="00B51C78"/>
    <w:rsid w:val="00B566DF"/>
    <w:rsid w:val="00B61653"/>
    <w:rsid w:val="00B658D4"/>
    <w:rsid w:val="00B80021"/>
    <w:rsid w:val="00B928D3"/>
    <w:rsid w:val="00B94346"/>
    <w:rsid w:val="00B9706F"/>
    <w:rsid w:val="00BA1838"/>
    <w:rsid w:val="00BA37F3"/>
    <w:rsid w:val="00BA44DF"/>
    <w:rsid w:val="00BC0CE4"/>
    <w:rsid w:val="00BC0DC6"/>
    <w:rsid w:val="00BC1153"/>
    <w:rsid w:val="00BC3BD6"/>
    <w:rsid w:val="00BC62B7"/>
    <w:rsid w:val="00BD5460"/>
    <w:rsid w:val="00BE4780"/>
    <w:rsid w:val="00BF296B"/>
    <w:rsid w:val="00BF51A9"/>
    <w:rsid w:val="00C01419"/>
    <w:rsid w:val="00C02A55"/>
    <w:rsid w:val="00C12F23"/>
    <w:rsid w:val="00C2176E"/>
    <w:rsid w:val="00C21EB6"/>
    <w:rsid w:val="00C274BB"/>
    <w:rsid w:val="00C27658"/>
    <w:rsid w:val="00C27F92"/>
    <w:rsid w:val="00C306D8"/>
    <w:rsid w:val="00C35347"/>
    <w:rsid w:val="00C45FD9"/>
    <w:rsid w:val="00C462B7"/>
    <w:rsid w:val="00C571E4"/>
    <w:rsid w:val="00C70AAE"/>
    <w:rsid w:val="00C831F9"/>
    <w:rsid w:val="00C90B16"/>
    <w:rsid w:val="00C94E17"/>
    <w:rsid w:val="00CA26B1"/>
    <w:rsid w:val="00CA29C4"/>
    <w:rsid w:val="00CA2B2B"/>
    <w:rsid w:val="00CA2DCB"/>
    <w:rsid w:val="00CB1D35"/>
    <w:rsid w:val="00CD4E13"/>
    <w:rsid w:val="00CD4E4B"/>
    <w:rsid w:val="00CE3400"/>
    <w:rsid w:val="00CE44B3"/>
    <w:rsid w:val="00CE6BAF"/>
    <w:rsid w:val="00CF1934"/>
    <w:rsid w:val="00CF5589"/>
    <w:rsid w:val="00D02A28"/>
    <w:rsid w:val="00D030B7"/>
    <w:rsid w:val="00D05FD0"/>
    <w:rsid w:val="00D115E3"/>
    <w:rsid w:val="00D151FA"/>
    <w:rsid w:val="00D22DE7"/>
    <w:rsid w:val="00D3027A"/>
    <w:rsid w:val="00D34C00"/>
    <w:rsid w:val="00D46B24"/>
    <w:rsid w:val="00D56433"/>
    <w:rsid w:val="00D56B9F"/>
    <w:rsid w:val="00D57F58"/>
    <w:rsid w:val="00D66736"/>
    <w:rsid w:val="00D67AC7"/>
    <w:rsid w:val="00D800EE"/>
    <w:rsid w:val="00D8759A"/>
    <w:rsid w:val="00D96514"/>
    <w:rsid w:val="00D97B98"/>
    <w:rsid w:val="00DA1637"/>
    <w:rsid w:val="00DA1FF6"/>
    <w:rsid w:val="00DD27CE"/>
    <w:rsid w:val="00DE1B7B"/>
    <w:rsid w:val="00DE70C7"/>
    <w:rsid w:val="00E05E82"/>
    <w:rsid w:val="00E274AA"/>
    <w:rsid w:val="00E30207"/>
    <w:rsid w:val="00E44121"/>
    <w:rsid w:val="00E53B62"/>
    <w:rsid w:val="00E54832"/>
    <w:rsid w:val="00E6034A"/>
    <w:rsid w:val="00E6467F"/>
    <w:rsid w:val="00E84FB6"/>
    <w:rsid w:val="00E866BC"/>
    <w:rsid w:val="00EA29AD"/>
    <w:rsid w:val="00EA32AD"/>
    <w:rsid w:val="00EB6602"/>
    <w:rsid w:val="00EC60C9"/>
    <w:rsid w:val="00EC712B"/>
    <w:rsid w:val="00EE2E28"/>
    <w:rsid w:val="00EE582D"/>
    <w:rsid w:val="00EF0D68"/>
    <w:rsid w:val="00EF4142"/>
    <w:rsid w:val="00F00F6C"/>
    <w:rsid w:val="00F03215"/>
    <w:rsid w:val="00F167DE"/>
    <w:rsid w:val="00F20964"/>
    <w:rsid w:val="00F4262B"/>
    <w:rsid w:val="00F705C9"/>
    <w:rsid w:val="00F72379"/>
    <w:rsid w:val="00F86785"/>
    <w:rsid w:val="00F920EB"/>
    <w:rsid w:val="00FC60B0"/>
    <w:rsid w:val="00FD66F9"/>
    <w:rsid w:val="00FE45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58"/>
  </w:style>
  <w:style w:type="paragraph" w:styleId="Heading1">
    <w:name w:val="heading 1"/>
    <w:basedOn w:val="Normal"/>
    <w:next w:val="Normal"/>
    <w:link w:val="Heading1Char"/>
    <w:uiPriority w:val="9"/>
    <w:qFormat/>
    <w:rsid w:val="00704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B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D35"/>
    <w:rPr>
      <w:color w:val="0000FF" w:themeColor="hyperlink"/>
      <w:u w:val="single"/>
    </w:rPr>
  </w:style>
  <w:style w:type="character" w:customStyle="1" w:styleId="Heading2Char">
    <w:name w:val="Heading 2 Char"/>
    <w:basedOn w:val="DefaultParagraphFont"/>
    <w:link w:val="Heading2"/>
    <w:uiPriority w:val="9"/>
    <w:rsid w:val="00BC3BD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C3BD6"/>
    <w:pPr>
      <w:spacing w:line="240" w:lineRule="auto"/>
      <w:ind w:firstLine="720"/>
      <w:jc w:val="center"/>
    </w:pPr>
    <w:rPr>
      <w:rFonts w:ascii="Myriad Pro" w:eastAsia="Times New Roman" w:hAnsi="Myriad Pro"/>
      <w:b/>
      <w:bCs/>
      <w:color w:val="F7931E"/>
      <w:sz w:val="20"/>
      <w:szCs w:val="24"/>
      <w:lang w:val="en-GB"/>
    </w:rPr>
  </w:style>
  <w:style w:type="character" w:customStyle="1" w:styleId="SubtitleChar">
    <w:name w:val="Subtitle Char"/>
    <w:basedOn w:val="DefaultParagraphFont"/>
    <w:link w:val="Subtitle"/>
    <w:uiPriority w:val="11"/>
    <w:rsid w:val="00BC3BD6"/>
    <w:rPr>
      <w:rFonts w:ascii="Myriad Pro" w:eastAsia="Times New Roman" w:hAnsi="Myriad Pro"/>
      <w:b/>
      <w:bCs/>
      <w:color w:val="F7931E"/>
      <w:sz w:val="20"/>
      <w:szCs w:val="24"/>
      <w:lang w:val="en-GB"/>
    </w:rPr>
  </w:style>
  <w:style w:type="character" w:styleId="SubtleEmphasis">
    <w:name w:val="Subtle Emphasis"/>
    <w:uiPriority w:val="19"/>
    <w:qFormat/>
    <w:rsid w:val="00BC3BD6"/>
  </w:style>
  <w:style w:type="paragraph" w:styleId="BalloonText">
    <w:name w:val="Balloon Text"/>
    <w:basedOn w:val="Normal"/>
    <w:link w:val="BalloonTextChar"/>
    <w:uiPriority w:val="99"/>
    <w:semiHidden/>
    <w:unhideWhenUsed/>
    <w:rsid w:val="00BC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D6"/>
    <w:rPr>
      <w:rFonts w:ascii="Tahoma" w:hAnsi="Tahoma" w:cs="Tahoma"/>
      <w:sz w:val="16"/>
      <w:szCs w:val="16"/>
    </w:rPr>
  </w:style>
  <w:style w:type="paragraph" w:styleId="ListParagraph">
    <w:name w:val="List Paragraph"/>
    <w:basedOn w:val="Normal"/>
    <w:uiPriority w:val="34"/>
    <w:qFormat/>
    <w:rsid w:val="00E6034A"/>
    <w:pPr>
      <w:ind w:left="720"/>
      <w:contextualSpacing/>
    </w:pPr>
  </w:style>
  <w:style w:type="character" w:customStyle="1" w:styleId="Heading1Char">
    <w:name w:val="Heading 1 Char"/>
    <w:basedOn w:val="DefaultParagraphFont"/>
    <w:link w:val="Heading1"/>
    <w:uiPriority w:val="9"/>
    <w:rsid w:val="007040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40DE"/>
    <w:pPr>
      <w:outlineLvl w:val="9"/>
    </w:pPr>
  </w:style>
  <w:style w:type="paragraph" w:styleId="TOC2">
    <w:name w:val="toc 2"/>
    <w:basedOn w:val="Normal"/>
    <w:next w:val="Normal"/>
    <w:autoRedefine/>
    <w:uiPriority w:val="39"/>
    <w:unhideWhenUsed/>
    <w:rsid w:val="007040DE"/>
    <w:pPr>
      <w:spacing w:after="100"/>
      <w:ind w:left="220"/>
    </w:pPr>
  </w:style>
  <w:style w:type="paragraph" w:styleId="TOC1">
    <w:name w:val="toc 1"/>
    <w:basedOn w:val="Normal"/>
    <w:next w:val="Normal"/>
    <w:autoRedefine/>
    <w:uiPriority w:val="39"/>
    <w:unhideWhenUsed/>
    <w:rsid w:val="00922701"/>
    <w:pPr>
      <w:spacing w:after="100"/>
    </w:pPr>
  </w:style>
  <w:style w:type="table" w:styleId="MediumGrid3-Accent1">
    <w:name w:val="Medium Grid 3 Accent 1"/>
    <w:basedOn w:val="TableNormal"/>
    <w:uiPriority w:val="69"/>
    <w:rsid w:val="000D31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823FFC"/>
    <w:rPr>
      <w:sz w:val="16"/>
      <w:szCs w:val="16"/>
    </w:rPr>
  </w:style>
  <w:style w:type="paragraph" w:styleId="CommentText">
    <w:name w:val="annotation text"/>
    <w:basedOn w:val="Normal"/>
    <w:link w:val="CommentTextChar"/>
    <w:uiPriority w:val="99"/>
    <w:semiHidden/>
    <w:unhideWhenUsed/>
    <w:rsid w:val="00823FFC"/>
    <w:pPr>
      <w:spacing w:line="240" w:lineRule="auto"/>
    </w:pPr>
    <w:rPr>
      <w:sz w:val="20"/>
      <w:szCs w:val="20"/>
    </w:rPr>
  </w:style>
  <w:style w:type="character" w:customStyle="1" w:styleId="CommentTextChar">
    <w:name w:val="Comment Text Char"/>
    <w:basedOn w:val="DefaultParagraphFont"/>
    <w:link w:val="CommentText"/>
    <w:uiPriority w:val="99"/>
    <w:semiHidden/>
    <w:rsid w:val="00823FFC"/>
    <w:rPr>
      <w:sz w:val="20"/>
      <w:szCs w:val="20"/>
    </w:rPr>
  </w:style>
  <w:style w:type="paragraph" w:styleId="CommentSubject">
    <w:name w:val="annotation subject"/>
    <w:basedOn w:val="CommentText"/>
    <w:next w:val="CommentText"/>
    <w:link w:val="CommentSubjectChar"/>
    <w:uiPriority w:val="99"/>
    <w:semiHidden/>
    <w:unhideWhenUsed/>
    <w:rsid w:val="00823FFC"/>
    <w:rPr>
      <w:b/>
      <w:bCs/>
    </w:rPr>
  </w:style>
  <w:style w:type="character" w:customStyle="1" w:styleId="CommentSubjectChar">
    <w:name w:val="Comment Subject Char"/>
    <w:basedOn w:val="CommentTextChar"/>
    <w:link w:val="CommentSubject"/>
    <w:uiPriority w:val="99"/>
    <w:semiHidden/>
    <w:rsid w:val="00823FFC"/>
    <w:rPr>
      <w:b/>
      <w:bCs/>
      <w:sz w:val="20"/>
      <w:szCs w:val="20"/>
    </w:rPr>
  </w:style>
  <w:style w:type="paragraph" w:styleId="Header">
    <w:name w:val="header"/>
    <w:basedOn w:val="Normal"/>
    <w:link w:val="HeaderChar"/>
    <w:uiPriority w:val="99"/>
    <w:unhideWhenUsed/>
    <w:rsid w:val="0040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15E"/>
  </w:style>
  <w:style w:type="paragraph" w:styleId="Footer">
    <w:name w:val="footer"/>
    <w:basedOn w:val="Normal"/>
    <w:link w:val="FooterChar"/>
    <w:uiPriority w:val="99"/>
    <w:unhideWhenUsed/>
    <w:rsid w:val="0040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B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D35"/>
    <w:rPr>
      <w:color w:val="0000FF" w:themeColor="hyperlink"/>
      <w:u w:val="single"/>
    </w:rPr>
  </w:style>
  <w:style w:type="character" w:customStyle="1" w:styleId="Heading2Char">
    <w:name w:val="Heading 2 Char"/>
    <w:basedOn w:val="DefaultParagraphFont"/>
    <w:link w:val="Heading2"/>
    <w:uiPriority w:val="9"/>
    <w:rsid w:val="00BC3BD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C3BD6"/>
    <w:pPr>
      <w:spacing w:line="240" w:lineRule="auto"/>
      <w:ind w:firstLine="720"/>
      <w:jc w:val="center"/>
    </w:pPr>
    <w:rPr>
      <w:rFonts w:ascii="Myriad Pro" w:eastAsia="Times New Roman" w:hAnsi="Myriad Pro"/>
      <w:b/>
      <w:bCs/>
      <w:color w:val="F7931E"/>
      <w:sz w:val="20"/>
      <w:szCs w:val="24"/>
      <w:lang w:val="en-GB"/>
    </w:rPr>
  </w:style>
  <w:style w:type="character" w:customStyle="1" w:styleId="SubtitleChar">
    <w:name w:val="Subtitle Char"/>
    <w:basedOn w:val="DefaultParagraphFont"/>
    <w:link w:val="Subtitle"/>
    <w:uiPriority w:val="11"/>
    <w:rsid w:val="00BC3BD6"/>
    <w:rPr>
      <w:rFonts w:ascii="Myriad Pro" w:eastAsia="Times New Roman" w:hAnsi="Myriad Pro"/>
      <w:b/>
      <w:bCs/>
      <w:color w:val="F7931E"/>
      <w:sz w:val="20"/>
      <w:szCs w:val="24"/>
      <w:lang w:val="en-GB"/>
    </w:rPr>
  </w:style>
  <w:style w:type="character" w:styleId="SubtleEmphasis">
    <w:name w:val="Subtle Emphasis"/>
    <w:uiPriority w:val="19"/>
    <w:qFormat/>
    <w:rsid w:val="00BC3BD6"/>
  </w:style>
  <w:style w:type="paragraph" w:styleId="BalloonText">
    <w:name w:val="Balloon Text"/>
    <w:basedOn w:val="Normal"/>
    <w:link w:val="BalloonTextChar"/>
    <w:uiPriority w:val="99"/>
    <w:semiHidden/>
    <w:unhideWhenUsed/>
    <w:rsid w:val="00BC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D6"/>
    <w:rPr>
      <w:rFonts w:ascii="Tahoma" w:hAnsi="Tahoma" w:cs="Tahoma"/>
      <w:sz w:val="16"/>
      <w:szCs w:val="16"/>
    </w:rPr>
  </w:style>
  <w:style w:type="paragraph" w:styleId="ListParagraph">
    <w:name w:val="List Paragraph"/>
    <w:basedOn w:val="Normal"/>
    <w:uiPriority w:val="34"/>
    <w:qFormat/>
    <w:rsid w:val="00E6034A"/>
    <w:pPr>
      <w:ind w:left="720"/>
      <w:contextualSpacing/>
    </w:pPr>
  </w:style>
  <w:style w:type="character" w:customStyle="1" w:styleId="Heading1Char">
    <w:name w:val="Heading 1 Char"/>
    <w:basedOn w:val="DefaultParagraphFont"/>
    <w:link w:val="Heading1"/>
    <w:uiPriority w:val="9"/>
    <w:rsid w:val="007040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40DE"/>
    <w:pPr>
      <w:outlineLvl w:val="9"/>
    </w:pPr>
  </w:style>
  <w:style w:type="paragraph" w:styleId="TOC2">
    <w:name w:val="toc 2"/>
    <w:basedOn w:val="Normal"/>
    <w:next w:val="Normal"/>
    <w:autoRedefine/>
    <w:uiPriority w:val="39"/>
    <w:unhideWhenUsed/>
    <w:rsid w:val="007040DE"/>
    <w:pPr>
      <w:spacing w:after="100"/>
      <w:ind w:left="220"/>
    </w:pPr>
  </w:style>
  <w:style w:type="paragraph" w:styleId="TOC1">
    <w:name w:val="toc 1"/>
    <w:basedOn w:val="Normal"/>
    <w:next w:val="Normal"/>
    <w:autoRedefine/>
    <w:uiPriority w:val="39"/>
    <w:unhideWhenUsed/>
    <w:rsid w:val="00922701"/>
    <w:pPr>
      <w:spacing w:after="100"/>
    </w:pPr>
  </w:style>
  <w:style w:type="table" w:styleId="MediumGrid3-Accent1">
    <w:name w:val="Medium Grid 3 Accent 1"/>
    <w:basedOn w:val="TableNormal"/>
    <w:uiPriority w:val="69"/>
    <w:rsid w:val="000D31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823FFC"/>
    <w:rPr>
      <w:sz w:val="16"/>
      <w:szCs w:val="16"/>
    </w:rPr>
  </w:style>
  <w:style w:type="paragraph" w:styleId="CommentText">
    <w:name w:val="annotation text"/>
    <w:basedOn w:val="Normal"/>
    <w:link w:val="CommentTextChar"/>
    <w:uiPriority w:val="99"/>
    <w:semiHidden/>
    <w:unhideWhenUsed/>
    <w:rsid w:val="00823FFC"/>
    <w:pPr>
      <w:spacing w:line="240" w:lineRule="auto"/>
    </w:pPr>
    <w:rPr>
      <w:sz w:val="20"/>
      <w:szCs w:val="20"/>
    </w:rPr>
  </w:style>
  <w:style w:type="character" w:customStyle="1" w:styleId="CommentTextChar">
    <w:name w:val="Comment Text Char"/>
    <w:basedOn w:val="DefaultParagraphFont"/>
    <w:link w:val="CommentText"/>
    <w:uiPriority w:val="99"/>
    <w:semiHidden/>
    <w:rsid w:val="00823FFC"/>
    <w:rPr>
      <w:sz w:val="20"/>
      <w:szCs w:val="20"/>
    </w:rPr>
  </w:style>
  <w:style w:type="paragraph" w:styleId="CommentSubject">
    <w:name w:val="annotation subject"/>
    <w:basedOn w:val="CommentText"/>
    <w:next w:val="CommentText"/>
    <w:link w:val="CommentSubjectChar"/>
    <w:uiPriority w:val="99"/>
    <w:semiHidden/>
    <w:unhideWhenUsed/>
    <w:rsid w:val="00823FFC"/>
    <w:rPr>
      <w:b/>
      <w:bCs/>
    </w:rPr>
  </w:style>
  <w:style w:type="character" w:customStyle="1" w:styleId="CommentSubjectChar">
    <w:name w:val="Comment Subject Char"/>
    <w:basedOn w:val="CommentTextChar"/>
    <w:link w:val="CommentSubject"/>
    <w:uiPriority w:val="99"/>
    <w:semiHidden/>
    <w:rsid w:val="00823FFC"/>
    <w:rPr>
      <w:b/>
      <w:bCs/>
      <w:sz w:val="20"/>
      <w:szCs w:val="20"/>
    </w:rPr>
  </w:style>
  <w:style w:type="paragraph" w:styleId="Header">
    <w:name w:val="header"/>
    <w:basedOn w:val="Normal"/>
    <w:link w:val="HeaderChar"/>
    <w:uiPriority w:val="99"/>
    <w:unhideWhenUsed/>
    <w:rsid w:val="0040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15E"/>
  </w:style>
  <w:style w:type="paragraph" w:styleId="Footer">
    <w:name w:val="footer"/>
    <w:basedOn w:val="Normal"/>
    <w:link w:val="FooterChar"/>
    <w:uiPriority w:val="99"/>
    <w:unhideWhenUsed/>
    <w:rsid w:val="0040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5E"/>
  </w:style>
</w:styles>
</file>

<file path=word/webSettings.xml><?xml version="1.0" encoding="utf-8"?>
<w:webSettings xmlns:r="http://schemas.openxmlformats.org/officeDocument/2006/relationships" xmlns:w="http://schemas.openxmlformats.org/wordprocessingml/2006/main">
  <w:divs>
    <w:div w:id="105462692">
      <w:bodyDiv w:val="1"/>
      <w:marLeft w:val="0"/>
      <w:marRight w:val="0"/>
      <w:marTop w:val="0"/>
      <w:marBottom w:val="0"/>
      <w:divBdr>
        <w:top w:val="none" w:sz="0" w:space="0" w:color="auto"/>
        <w:left w:val="none" w:sz="0" w:space="0" w:color="auto"/>
        <w:bottom w:val="none" w:sz="0" w:space="0" w:color="auto"/>
        <w:right w:val="none" w:sz="0" w:space="0" w:color="auto"/>
      </w:divBdr>
    </w:div>
    <w:div w:id="168494601">
      <w:bodyDiv w:val="1"/>
      <w:marLeft w:val="0"/>
      <w:marRight w:val="0"/>
      <w:marTop w:val="0"/>
      <w:marBottom w:val="0"/>
      <w:divBdr>
        <w:top w:val="none" w:sz="0" w:space="0" w:color="auto"/>
        <w:left w:val="none" w:sz="0" w:space="0" w:color="auto"/>
        <w:bottom w:val="none" w:sz="0" w:space="0" w:color="auto"/>
        <w:right w:val="none" w:sz="0" w:space="0" w:color="auto"/>
      </w:divBdr>
    </w:div>
    <w:div w:id="171578872">
      <w:bodyDiv w:val="1"/>
      <w:marLeft w:val="0"/>
      <w:marRight w:val="0"/>
      <w:marTop w:val="0"/>
      <w:marBottom w:val="0"/>
      <w:divBdr>
        <w:top w:val="none" w:sz="0" w:space="0" w:color="auto"/>
        <w:left w:val="none" w:sz="0" w:space="0" w:color="auto"/>
        <w:bottom w:val="none" w:sz="0" w:space="0" w:color="auto"/>
        <w:right w:val="none" w:sz="0" w:space="0" w:color="auto"/>
      </w:divBdr>
    </w:div>
    <w:div w:id="297490616">
      <w:bodyDiv w:val="1"/>
      <w:marLeft w:val="0"/>
      <w:marRight w:val="0"/>
      <w:marTop w:val="0"/>
      <w:marBottom w:val="0"/>
      <w:divBdr>
        <w:top w:val="none" w:sz="0" w:space="0" w:color="auto"/>
        <w:left w:val="none" w:sz="0" w:space="0" w:color="auto"/>
        <w:bottom w:val="none" w:sz="0" w:space="0" w:color="auto"/>
        <w:right w:val="none" w:sz="0" w:space="0" w:color="auto"/>
      </w:divBdr>
    </w:div>
    <w:div w:id="315114346">
      <w:bodyDiv w:val="1"/>
      <w:marLeft w:val="0"/>
      <w:marRight w:val="0"/>
      <w:marTop w:val="0"/>
      <w:marBottom w:val="0"/>
      <w:divBdr>
        <w:top w:val="none" w:sz="0" w:space="0" w:color="auto"/>
        <w:left w:val="none" w:sz="0" w:space="0" w:color="auto"/>
        <w:bottom w:val="none" w:sz="0" w:space="0" w:color="auto"/>
        <w:right w:val="none" w:sz="0" w:space="0" w:color="auto"/>
      </w:divBdr>
    </w:div>
    <w:div w:id="375740965">
      <w:bodyDiv w:val="1"/>
      <w:marLeft w:val="0"/>
      <w:marRight w:val="0"/>
      <w:marTop w:val="0"/>
      <w:marBottom w:val="0"/>
      <w:divBdr>
        <w:top w:val="none" w:sz="0" w:space="0" w:color="auto"/>
        <w:left w:val="none" w:sz="0" w:space="0" w:color="auto"/>
        <w:bottom w:val="none" w:sz="0" w:space="0" w:color="auto"/>
        <w:right w:val="none" w:sz="0" w:space="0" w:color="auto"/>
      </w:divBdr>
    </w:div>
    <w:div w:id="377584565">
      <w:bodyDiv w:val="1"/>
      <w:marLeft w:val="0"/>
      <w:marRight w:val="0"/>
      <w:marTop w:val="0"/>
      <w:marBottom w:val="0"/>
      <w:divBdr>
        <w:top w:val="none" w:sz="0" w:space="0" w:color="auto"/>
        <w:left w:val="none" w:sz="0" w:space="0" w:color="auto"/>
        <w:bottom w:val="none" w:sz="0" w:space="0" w:color="auto"/>
        <w:right w:val="none" w:sz="0" w:space="0" w:color="auto"/>
      </w:divBdr>
    </w:div>
    <w:div w:id="452866383">
      <w:bodyDiv w:val="1"/>
      <w:marLeft w:val="0"/>
      <w:marRight w:val="0"/>
      <w:marTop w:val="0"/>
      <w:marBottom w:val="0"/>
      <w:divBdr>
        <w:top w:val="none" w:sz="0" w:space="0" w:color="auto"/>
        <w:left w:val="none" w:sz="0" w:space="0" w:color="auto"/>
        <w:bottom w:val="none" w:sz="0" w:space="0" w:color="auto"/>
        <w:right w:val="none" w:sz="0" w:space="0" w:color="auto"/>
      </w:divBdr>
    </w:div>
    <w:div w:id="486046603">
      <w:bodyDiv w:val="1"/>
      <w:marLeft w:val="0"/>
      <w:marRight w:val="0"/>
      <w:marTop w:val="0"/>
      <w:marBottom w:val="0"/>
      <w:divBdr>
        <w:top w:val="none" w:sz="0" w:space="0" w:color="auto"/>
        <w:left w:val="none" w:sz="0" w:space="0" w:color="auto"/>
        <w:bottom w:val="none" w:sz="0" w:space="0" w:color="auto"/>
        <w:right w:val="none" w:sz="0" w:space="0" w:color="auto"/>
      </w:divBdr>
    </w:div>
    <w:div w:id="515926307">
      <w:bodyDiv w:val="1"/>
      <w:marLeft w:val="0"/>
      <w:marRight w:val="0"/>
      <w:marTop w:val="0"/>
      <w:marBottom w:val="0"/>
      <w:divBdr>
        <w:top w:val="none" w:sz="0" w:space="0" w:color="auto"/>
        <w:left w:val="none" w:sz="0" w:space="0" w:color="auto"/>
        <w:bottom w:val="none" w:sz="0" w:space="0" w:color="auto"/>
        <w:right w:val="none" w:sz="0" w:space="0" w:color="auto"/>
      </w:divBdr>
    </w:div>
    <w:div w:id="522667902">
      <w:bodyDiv w:val="1"/>
      <w:marLeft w:val="0"/>
      <w:marRight w:val="0"/>
      <w:marTop w:val="0"/>
      <w:marBottom w:val="0"/>
      <w:divBdr>
        <w:top w:val="none" w:sz="0" w:space="0" w:color="auto"/>
        <w:left w:val="none" w:sz="0" w:space="0" w:color="auto"/>
        <w:bottom w:val="none" w:sz="0" w:space="0" w:color="auto"/>
        <w:right w:val="none" w:sz="0" w:space="0" w:color="auto"/>
      </w:divBdr>
    </w:div>
    <w:div w:id="523860505">
      <w:bodyDiv w:val="1"/>
      <w:marLeft w:val="0"/>
      <w:marRight w:val="0"/>
      <w:marTop w:val="0"/>
      <w:marBottom w:val="0"/>
      <w:divBdr>
        <w:top w:val="none" w:sz="0" w:space="0" w:color="auto"/>
        <w:left w:val="none" w:sz="0" w:space="0" w:color="auto"/>
        <w:bottom w:val="none" w:sz="0" w:space="0" w:color="auto"/>
        <w:right w:val="none" w:sz="0" w:space="0" w:color="auto"/>
      </w:divBdr>
    </w:div>
    <w:div w:id="583761657">
      <w:bodyDiv w:val="1"/>
      <w:marLeft w:val="0"/>
      <w:marRight w:val="0"/>
      <w:marTop w:val="0"/>
      <w:marBottom w:val="0"/>
      <w:divBdr>
        <w:top w:val="none" w:sz="0" w:space="0" w:color="auto"/>
        <w:left w:val="none" w:sz="0" w:space="0" w:color="auto"/>
        <w:bottom w:val="none" w:sz="0" w:space="0" w:color="auto"/>
        <w:right w:val="none" w:sz="0" w:space="0" w:color="auto"/>
      </w:divBdr>
    </w:div>
    <w:div w:id="603850022">
      <w:bodyDiv w:val="1"/>
      <w:marLeft w:val="0"/>
      <w:marRight w:val="0"/>
      <w:marTop w:val="0"/>
      <w:marBottom w:val="0"/>
      <w:divBdr>
        <w:top w:val="none" w:sz="0" w:space="0" w:color="auto"/>
        <w:left w:val="none" w:sz="0" w:space="0" w:color="auto"/>
        <w:bottom w:val="none" w:sz="0" w:space="0" w:color="auto"/>
        <w:right w:val="none" w:sz="0" w:space="0" w:color="auto"/>
      </w:divBdr>
    </w:div>
    <w:div w:id="648557568">
      <w:bodyDiv w:val="1"/>
      <w:marLeft w:val="0"/>
      <w:marRight w:val="0"/>
      <w:marTop w:val="0"/>
      <w:marBottom w:val="0"/>
      <w:divBdr>
        <w:top w:val="none" w:sz="0" w:space="0" w:color="auto"/>
        <w:left w:val="none" w:sz="0" w:space="0" w:color="auto"/>
        <w:bottom w:val="none" w:sz="0" w:space="0" w:color="auto"/>
        <w:right w:val="none" w:sz="0" w:space="0" w:color="auto"/>
      </w:divBdr>
    </w:div>
    <w:div w:id="691033958">
      <w:bodyDiv w:val="1"/>
      <w:marLeft w:val="0"/>
      <w:marRight w:val="0"/>
      <w:marTop w:val="0"/>
      <w:marBottom w:val="0"/>
      <w:divBdr>
        <w:top w:val="none" w:sz="0" w:space="0" w:color="auto"/>
        <w:left w:val="none" w:sz="0" w:space="0" w:color="auto"/>
        <w:bottom w:val="none" w:sz="0" w:space="0" w:color="auto"/>
        <w:right w:val="none" w:sz="0" w:space="0" w:color="auto"/>
      </w:divBdr>
    </w:div>
    <w:div w:id="699277351">
      <w:bodyDiv w:val="1"/>
      <w:marLeft w:val="0"/>
      <w:marRight w:val="0"/>
      <w:marTop w:val="0"/>
      <w:marBottom w:val="0"/>
      <w:divBdr>
        <w:top w:val="none" w:sz="0" w:space="0" w:color="auto"/>
        <w:left w:val="none" w:sz="0" w:space="0" w:color="auto"/>
        <w:bottom w:val="none" w:sz="0" w:space="0" w:color="auto"/>
        <w:right w:val="none" w:sz="0" w:space="0" w:color="auto"/>
      </w:divBdr>
    </w:div>
    <w:div w:id="728457083">
      <w:bodyDiv w:val="1"/>
      <w:marLeft w:val="0"/>
      <w:marRight w:val="0"/>
      <w:marTop w:val="0"/>
      <w:marBottom w:val="0"/>
      <w:divBdr>
        <w:top w:val="none" w:sz="0" w:space="0" w:color="auto"/>
        <w:left w:val="none" w:sz="0" w:space="0" w:color="auto"/>
        <w:bottom w:val="none" w:sz="0" w:space="0" w:color="auto"/>
        <w:right w:val="none" w:sz="0" w:space="0" w:color="auto"/>
      </w:divBdr>
    </w:div>
    <w:div w:id="778259049">
      <w:bodyDiv w:val="1"/>
      <w:marLeft w:val="0"/>
      <w:marRight w:val="0"/>
      <w:marTop w:val="0"/>
      <w:marBottom w:val="0"/>
      <w:divBdr>
        <w:top w:val="none" w:sz="0" w:space="0" w:color="auto"/>
        <w:left w:val="none" w:sz="0" w:space="0" w:color="auto"/>
        <w:bottom w:val="none" w:sz="0" w:space="0" w:color="auto"/>
        <w:right w:val="none" w:sz="0" w:space="0" w:color="auto"/>
      </w:divBdr>
    </w:div>
    <w:div w:id="851726475">
      <w:bodyDiv w:val="1"/>
      <w:marLeft w:val="0"/>
      <w:marRight w:val="0"/>
      <w:marTop w:val="0"/>
      <w:marBottom w:val="0"/>
      <w:divBdr>
        <w:top w:val="none" w:sz="0" w:space="0" w:color="auto"/>
        <w:left w:val="none" w:sz="0" w:space="0" w:color="auto"/>
        <w:bottom w:val="none" w:sz="0" w:space="0" w:color="auto"/>
        <w:right w:val="none" w:sz="0" w:space="0" w:color="auto"/>
      </w:divBdr>
    </w:div>
    <w:div w:id="896092465">
      <w:bodyDiv w:val="1"/>
      <w:marLeft w:val="0"/>
      <w:marRight w:val="0"/>
      <w:marTop w:val="0"/>
      <w:marBottom w:val="0"/>
      <w:divBdr>
        <w:top w:val="none" w:sz="0" w:space="0" w:color="auto"/>
        <w:left w:val="none" w:sz="0" w:space="0" w:color="auto"/>
        <w:bottom w:val="none" w:sz="0" w:space="0" w:color="auto"/>
        <w:right w:val="none" w:sz="0" w:space="0" w:color="auto"/>
      </w:divBdr>
    </w:div>
    <w:div w:id="896624524">
      <w:bodyDiv w:val="1"/>
      <w:marLeft w:val="0"/>
      <w:marRight w:val="0"/>
      <w:marTop w:val="0"/>
      <w:marBottom w:val="0"/>
      <w:divBdr>
        <w:top w:val="none" w:sz="0" w:space="0" w:color="auto"/>
        <w:left w:val="none" w:sz="0" w:space="0" w:color="auto"/>
        <w:bottom w:val="none" w:sz="0" w:space="0" w:color="auto"/>
        <w:right w:val="none" w:sz="0" w:space="0" w:color="auto"/>
      </w:divBdr>
    </w:div>
    <w:div w:id="897663684">
      <w:bodyDiv w:val="1"/>
      <w:marLeft w:val="0"/>
      <w:marRight w:val="0"/>
      <w:marTop w:val="0"/>
      <w:marBottom w:val="0"/>
      <w:divBdr>
        <w:top w:val="none" w:sz="0" w:space="0" w:color="auto"/>
        <w:left w:val="none" w:sz="0" w:space="0" w:color="auto"/>
        <w:bottom w:val="none" w:sz="0" w:space="0" w:color="auto"/>
        <w:right w:val="none" w:sz="0" w:space="0" w:color="auto"/>
      </w:divBdr>
    </w:div>
    <w:div w:id="899055434">
      <w:bodyDiv w:val="1"/>
      <w:marLeft w:val="0"/>
      <w:marRight w:val="0"/>
      <w:marTop w:val="0"/>
      <w:marBottom w:val="0"/>
      <w:divBdr>
        <w:top w:val="none" w:sz="0" w:space="0" w:color="auto"/>
        <w:left w:val="none" w:sz="0" w:space="0" w:color="auto"/>
        <w:bottom w:val="none" w:sz="0" w:space="0" w:color="auto"/>
        <w:right w:val="none" w:sz="0" w:space="0" w:color="auto"/>
      </w:divBdr>
    </w:div>
    <w:div w:id="899289337">
      <w:bodyDiv w:val="1"/>
      <w:marLeft w:val="0"/>
      <w:marRight w:val="0"/>
      <w:marTop w:val="0"/>
      <w:marBottom w:val="0"/>
      <w:divBdr>
        <w:top w:val="none" w:sz="0" w:space="0" w:color="auto"/>
        <w:left w:val="none" w:sz="0" w:space="0" w:color="auto"/>
        <w:bottom w:val="none" w:sz="0" w:space="0" w:color="auto"/>
        <w:right w:val="none" w:sz="0" w:space="0" w:color="auto"/>
      </w:divBdr>
    </w:div>
    <w:div w:id="1019165759">
      <w:bodyDiv w:val="1"/>
      <w:marLeft w:val="0"/>
      <w:marRight w:val="0"/>
      <w:marTop w:val="0"/>
      <w:marBottom w:val="0"/>
      <w:divBdr>
        <w:top w:val="none" w:sz="0" w:space="0" w:color="auto"/>
        <w:left w:val="none" w:sz="0" w:space="0" w:color="auto"/>
        <w:bottom w:val="none" w:sz="0" w:space="0" w:color="auto"/>
        <w:right w:val="none" w:sz="0" w:space="0" w:color="auto"/>
      </w:divBdr>
    </w:div>
    <w:div w:id="1029644330">
      <w:bodyDiv w:val="1"/>
      <w:marLeft w:val="0"/>
      <w:marRight w:val="0"/>
      <w:marTop w:val="0"/>
      <w:marBottom w:val="0"/>
      <w:divBdr>
        <w:top w:val="none" w:sz="0" w:space="0" w:color="auto"/>
        <w:left w:val="none" w:sz="0" w:space="0" w:color="auto"/>
        <w:bottom w:val="none" w:sz="0" w:space="0" w:color="auto"/>
        <w:right w:val="none" w:sz="0" w:space="0" w:color="auto"/>
      </w:divBdr>
    </w:div>
    <w:div w:id="1064764116">
      <w:bodyDiv w:val="1"/>
      <w:marLeft w:val="0"/>
      <w:marRight w:val="0"/>
      <w:marTop w:val="0"/>
      <w:marBottom w:val="0"/>
      <w:divBdr>
        <w:top w:val="none" w:sz="0" w:space="0" w:color="auto"/>
        <w:left w:val="none" w:sz="0" w:space="0" w:color="auto"/>
        <w:bottom w:val="none" w:sz="0" w:space="0" w:color="auto"/>
        <w:right w:val="none" w:sz="0" w:space="0" w:color="auto"/>
      </w:divBdr>
    </w:div>
    <w:div w:id="1098796880">
      <w:bodyDiv w:val="1"/>
      <w:marLeft w:val="0"/>
      <w:marRight w:val="0"/>
      <w:marTop w:val="0"/>
      <w:marBottom w:val="0"/>
      <w:divBdr>
        <w:top w:val="none" w:sz="0" w:space="0" w:color="auto"/>
        <w:left w:val="none" w:sz="0" w:space="0" w:color="auto"/>
        <w:bottom w:val="none" w:sz="0" w:space="0" w:color="auto"/>
        <w:right w:val="none" w:sz="0" w:space="0" w:color="auto"/>
      </w:divBdr>
    </w:div>
    <w:div w:id="1170947724">
      <w:bodyDiv w:val="1"/>
      <w:marLeft w:val="0"/>
      <w:marRight w:val="0"/>
      <w:marTop w:val="0"/>
      <w:marBottom w:val="0"/>
      <w:divBdr>
        <w:top w:val="none" w:sz="0" w:space="0" w:color="auto"/>
        <w:left w:val="none" w:sz="0" w:space="0" w:color="auto"/>
        <w:bottom w:val="none" w:sz="0" w:space="0" w:color="auto"/>
        <w:right w:val="none" w:sz="0" w:space="0" w:color="auto"/>
      </w:divBdr>
    </w:div>
    <w:div w:id="1190870297">
      <w:bodyDiv w:val="1"/>
      <w:marLeft w:val="0"/>
      <w:marRight w:val="0"/>
      <w:marTop w:val="0"/>
      <w:marBottom w:val="0"/>
      <w:divBdr>
        <w:top w:val="none" w:sz="0" w:space="0" w:color="auto"/>
        <w:left w:val="none" w:sz="0" w:space="0" w:color="auto"/>
        <w:bottom w:val="none" w:sz="0" w:space="0" w:color="auto"/>
        <w:right w:val="none" w:sz="0" w:space="0" w:color="auto"/>
      </w:divBdr>
    </w:div>
    <w:div w:id="1227378575">
      <w:bodyDiv w:val="1"/>
      <w:marLeft w:val="0"/>
      <w:marRight w:val="0"/>
      <w:marTop w:val="0"/>
      <w:marBottom w:val="0"/>
      <w:divBdr>
        <w:top w:val="none" w:sz="0" w:space="0" w:color="auto"/>
        <w:left w:val="none" w:sz="0" w:space="0" w:color="auto"/>
        <w:bottom w:val="none" w:sz="0" w:space="0" w:color="auto"/>
        <w:right w:val="none" w:sz="0" w:space="0" w:color="auto"/>
      </w:divBdr>
    </w:div>
    <w:div w:id="1230312377">
      <w:bodyDiv w:val="1"/>
      <w:marLeft w:val="0"/>
      <w:marRight w:val="0"/>
      <w:marTop w:val="0"/>
      <w:marBottom w:val="0"/>
      <w:divBdr>
        <w:top w:val="none" w:sz="0" w:space="0" w:color="auto"/>
        <w:left w:val="none" w:sz="0" w:space="0" w:color="auto"/>
        <w:bottom w:val="none" w:sz="0" w:space="0" w:color="auto"/>
        <w:right w:val="none" w:sz="0" w:space="0" w:color="auto"/>
      </w:divBdr>
    </w:div>
    <w:div w:id="1277178791">
      <w:bodyDiv w:val="1"/>
      <w:marLeft w:val="0"/>
      <w:marRight w:val="0"/>
      <w:marTop w:val="0"/>
      <w:marBottom w:val="0"/>
      <w:divBdr>
        <w:top w:val="none" w:sz="0" w:space="0" w:color="auto"/>
        <w:left w:val="none" w:sz="0" w:space="0" w:color="auto"/>
        <w:bottom w:val="none" w:sz="0" w:space="0" w:color="auto"/>
        <w:right w:val="none" w:sz="0" w:space="0" w:color="auto"/>
      </w:divBdr>
    </w:div>
    <w:div w:id="1391230008">
      <w:bodyDiv w:val="1"/>
      <w:marLeft w:val="0"/>
      <w:marRight w:val="0"/>
      <w:marTop w:val="0"/>
      <w:marBottom w:val="0"/>
      <w:divBdr>
        <w:top w:val="none" w:sz="0" w:space="0" w:color="auto"/>
        <w:left w:val="none" w:sz="0" w:space="0" w:color="auto"/>
        <w:bottom w:val="none" w:sz="0" w:space="0" w:color="auto"/>
        <w:right w:val="none" w:sz="0" w:space="0" w:color="auto"/>
      </w:divBdr>
    </w:div>
    <w:div w:id="1427767472">
      <w:bodyDiv w:val="1"/>
      <w:marLeft w:val="0"/>
      <w:marRight w:val="0"/>
      <w:marTop w:val="0"/>
      <w:marBottom w:val="0"/>
      <w:divBdr>
        <w:top w:val="none" w:sz="0" w:space="0" w:color="auto"/>
        <w:left w:val="none" w:sz="0" w:space="0" w:color="auto"/>
        <w:bottom w:val="none" w:sz="0" w:space="0" w:color="auto"/>
        <w:right w:val="none" w:sz="0" w:space="0" w:color="auto"/>
      </w:divBdr>
    </w:div>
    <w:div w:id="1481918360">
      <w:bodyDiv w:val="1"/>
      <w:marLeft w:val="0"/>
      <w:marRight w:val="0"/>
      <w:marTop w:val="0"/>
      <w:marBottom w:val="0"/>
      <w:divBdr>
        <w:top w:val="none" w:sz="0" w:space="0" w:color="auto"/>
        <w:left w:val="none" w:sz="0" w:space="0" w:color="auto"/>
        <w:bottom w:val="none" w:sz="0" w:space="0" w:color="auto"/>
        <w:right w:val="none" w:sz="0" w:space="0" w:color="auto"/>
      </w:divBdr>
    </w:div>
    <w:div w:id="1494905112">
      <w:bodyDiv w:val="1"/>
      <w:marLeft w:val="0"/>
      <w:marRight w:val="0"/>
      <w:marTop w:val="0"/>
      <w:marBottom w:val="0"/>
      <w:divBdr>
        <w:top w:val="none" w:sz="0" w:space="0" w:color="auto"/>
        <w:left w:val="none" w:sz="0" w:space="0" w:color="auto"/>
        <w:bottom w:val="none" w:sz="0" w:space="0" w:color="auto"/>
        <w:right w:val="none" w:sz="0" w:space="0" w:color="auto"/>
      </w:divBdr>
    </w:div>
    <w:div w:id="1510440661">
      <w:bodyDiv w:val="1"/>
      <w:marLeft w:val="0"/>
      <w:marRight w:val="0"/>
      <w:marTop w:val="0"/>
      <w:marBottom w:val="0"/>
      <w:divBdr>
        <w:top w:val="none" w:sz="0" w:space="0" w:color="auto"/>
        <w:left w:val="none" w:sz="0" w:space="0" w:color="auto"/>
        <w:bottom w:val="none" w:sz="0" w:space="0" w:color="auto"/>
        <w:right w:val="none" w:sz="0" w:space="0" w:color="auto"/>
      </w:divBdr>
    </w:div>
    <w:div w:id="1527061958">
      <w:bodyDiv w:val="1"/>
      <w:marLeft w:val="0"/>
      <w:marRight w:val="0"/>
      <w:marTop w:val="0"/>
      <w:marBottom w:val="0"/>
      <w:divBdr>
        <w:top w:val="none" w:sz="0" w:space="0" w:color="auto"/>
        <w:left w:val="none" w:sz="0" w:space="0" w:color="auto"/>
        <w:bottom w:val="none" w:sz="0" w:space="0" w:color="auto"/>
        <w:right w:val="none" w:sz="0" w:space="0" w:color="auto"/>
      </w:divBdr>
    </w:div>
    <w:div w:id="1586572271">
      <w:bodyDiv w:val="1"/>
      <w:marLeft w:val="0"/>
      <w:marRight w:val="0"/>
      <w:marTop w:val="0"/>
      <w:marBottom w:val="0"/>
      <w:divBdr>
        <w:top w:val="none" w:sz="0" w:space="0" w:color="auto"/>
        <w:left w:val="none" w:sz="0" w:space="0" w:color="auto"/>
        <w:bottom w:val="none" w:sz="0" w:space="0" w:color="auto"/>
        <w:right w:val="none" w:sz="0" w:space="0" w:color="auto"/>
      </w:divBdr>
    </w:div>
    <w:div w:id="1611359204">
      <w:bodyDiv w:val="1"/>
      <w:marLeft w:val="0"/>
      <w:marRight w:val="0"/>
      <w:marTop w:val="0"/>
      <w:marBottom w:val="0"/>
      <w:divBdr>
        <w:top w:val="none" w:sz="0" w:space="0" w:color="auto"/>
        <w:left w:val="none" w:sz="0" w:space="0" w:color="auto"/>
        <w:bottom w:val="none" w:sz="0" w:space="0" w:color="auto"/>
        <w:right w:val="none" w:sz="0" w:space="0" w:color="auto"/>
      </w:divBdr>
    </w:div>
    <w:div w:id="1647007007">
      <w:bodyDiv w:val="1"/>
      <w:marLeft w:val="0"/>
      <w:marRight w:val="0"/>
      <w:marTop w:val="0"/>
      <w:marBottom w:val="0"/>
      <w:divBdr>
        <w:top w:val="none" w:sz="0" w:space="0" w:color="auto"/>
        <w:left w:val="none" w:sz="0" w:space="0" w:color="auto"/>
        <w:bottom w:val="none" w:sz="0" w:space="0" w:color="auto"/>
        <w:right w:val="none" w:sz="0" w:space="0" w:color="auto"/>
      </w:divBdr>
    </w:div>
    <w:div w:id="1672678210">
      <w:bodyDiv w:val="1"/>
      <w:marLeft w:val="0"/>
      <w:marRight w:val="0"/>
      <w:marTop w:val="0"/>
      <w:marBottom w:val="0"/>
      <w:divBdr>
        <w:top w:val="none" w:sz="0" w:space="0" w:color="auto"/>
        <w:left w:val="none" w:sz="0" w:space="0" w:color="auto"/>
        <w:bottom w:val="none" w:sz="0" w:space="0" w:color="auto"/>
        <w:right w:val="none" w:sz="0" w:space="0" w:color="auto"/>
      </w:divBdr>
    </w:div>
    <w:div w:id="1702432300">
      <w:bodyDiv w:val="1"/>
      <w:marLeft w:val="0"/>
      <w:marRight w:val="0"/>
      <w:marTop w:val="0"/>
      <w:marBottom w:val="0"/>
      <w:divBdr>
        <w:top w:val="none" w:sz="0" w:space="0" w:color="auto"/>
        <w:left w:val="none" w:sz="0" w:space="0" w:color="auto"/>
        <w:bottom w:val="none" w:sz="0" w:space="0" w:color="auto"/>
        <w:right w:val="none" w:sz="0" w:space="0" w:color="auto"/>
      </w:divBdr>
    </w:div>
    <w:div w:id="1710110954">
      <w:bodyDiv w:val="1"/>
      <w:marLeft w:val="0"/>
      <w:marRight w:val="0"/>
      <w:marTop w:val="0"/>
      <w:marBottom w:val="0"/>
      <w:divBdr>
        <w:top w:val="none" w:sz="0" w:space="0" w:color="auto"/>
        <w:left w:val="none" w:sz="0" w:space="0" w:color="auto"/>
        <w:bottom w:val="none" w:sz="0" w:space="0" w:color="auto"/>
        <w:right w:val="none" w:sz="0" w:space="0" w:color="auto"/>
      </w:divBdr>
    </w:div>
    <w:div w:id="1750152899">
      <w:bodyDiv w:val="1"/>
      <w:marLeft w:val="0"/>
      <w:marRight w:val="0"/>
      <w:marTop w:val="0"/>
      <w:marBottom w:val="0"/>
      <w:divBdr>
        <w:top w:val="none" w:sz="0" w:space="0" w:color="auto"/>
        <w:left w:val="none" w:sz="0" w:space="0" w:color="auto"/>
        <w:bottom w:val="none" w:sz="0" w:space="0" w:color="auto"/>
        <w:right w:val="none" w:sz="0" w:space="0" w:color="auto"/>
      </w:divBdr>
    </w:div>
    <w:div w:id="1774351337">
      <w:bodyDiv w:val="1"/>
      <w:marLeft w:val="0"/>
      <w:marRight w:val="0"/>
      <w:marTop w:val="0"/>
      <w:marBottom w:val="0"/>
      <w:divBdr>
        <w:top w:val="none" w:sz="0" w:space="0" w:color="auto"/>
        <w:left w:val="none" w:sz="0" w:space="0" w:color="auto"/>
        <w:bottom w:val="none" w:sz="0" w:space="0" w:color="auto"/>
        <w:right w:val="none" w:sz="0" w:space="0" w:color="auto"/>
      </w:divBdr>
    </w:div>
    <w:div w:id="1845393878">
      <w:bodyDiv w:val="1"/>
      <w:marLeft w:val="0"/>
      <w:marRight w:val="0"/>
      <w:marTop w:val="0"/>
      <w:marBottom w:val="0"/>
      <w:divBdr>
        <w:top w:val="none" w:sz="0" w:space="0" w:color="auto"/>
        <w:left w:val="none" w:sz="0" w:space="0" w:color="auto"/>
        <w:bottom w:val="none" w:sz="0" w:space="0" w:color="auto"/>
        <w:right w:val="none" w:sz="0" w:space="0" w:color="auto"/>
      </w:divBdr>
    </w:div>
    <w:div w:id="1881896845">
      <w:bodyDiv w:val="1"/>
      <w:marLeft w:val="0"/>
      <w:marRight w:val="0"/>
      <w:marTop w:val="0"/>
      <w:marBottom w:val="0"/>
      <w:divBdr>
        <w:top w:val="none" w:sz="0" w:space="0" w:color="auto"/>
        <w:left w:val="none" w:sz="0" w:space="0" w:color="auto"/>
        <w:bottom w:val="none" w:sz="0" w:space="0" w:color="auto"/>
        <w:right w:val="none" w:sz="0" w:space="0" w:color="auto"/>
      </w:divBdr>
    </w:div>
    <w:div w:id="2017919582">
      <w:bodyDiv w:val="1"/>
      <w:marLeft w:val="0"/>
      <w:marRight w:val="0"/>
      <w:marTop w:val="0"/>
      <w:marBottom w:val="0"/>
      <w:divBdr>
        <w:top w:val="none" w:sz="0" w:space="0" w:color="auto"/>
        <w:left w:val="none" w:sz="0" w:space="0" w:color="auto"/>
        <w:bottom w:val="none" w:sz="0" w:space="0" w:color="auto"/>
        <w:right w:val="none" w:sz="0" w:space="0" w:color="auto"/>
      </w:divBdr>
    </w:div>
    <w:div w:id="2018268234">
      <w:bodyDiv w:val="1"/>
      <w:marLeft w:val="0"/>
      <w:marRight w:val="0"/>
      <w:marTop w:val="0"/>
      <w:marBottom w:val="0"/>
      <w:divBdr>
        <w:top w:val="none" w:sz="0" w:space="0" w:color="auto"/>
        <w:left w:val="none" w:sz="0" w:space="0" w:color="auto"/>
        <w:bottom w:val="none" w:sz="0" w:space="0" w:color="auto"/>
        <w:right w:val="none" w:sz="0" w:space="0" w:color="auto"/>
      </w:divBdr>
    </w:div>
    <w:div w:id="2084641416">
      <w:bodyDiv w:val="1"/>
      <w:marLeft w:val="0"/>
      <w:marRight w:val="0"/>
      <w:marTop w:val="0"/>
      <w:marBottom w:val="0"/>
      <w:divBdr>
        <w:top w:val="none" w:sz="0" w:space="0" w:color="auto"/>
        <w:left w:val="none" w:sz="0" w:space="0" w:color="auto"/>
        <w:bottom w:val="none" w:sz="0" w:space="0" w:color="auto"/>
        <w:right w:val="none" w:sz="0" w:space="0" w:color="auto"/>
      </w:divBdr>
    </w:div>
    <w:div w:id="2112822976">
      <w:bodyDiv w:val="1"/>
      <w:marLeft w:val="0"/>
      <w:marRight w:val="0"/>
      <w:marTop w:val="0"/>
      <w:marBottom w:val="0"/>
      <w:divBdr>
        <w:top w:val="none" w:sz="0" w:space="0" w:color="auto"/>
        <w:left w:val="none" w:sz="0" w:space="0" w:color="auto"/>
        <w:bottom w:val="none" w:sz="0" w:space="0" w:color="auto"/>
        <w:right w:val="none" w:sz="0" w:space="0" w:color="auto"/>
      </w:divBdr>
    </w:div>
    <w:div w:id="2129162315">
      <w:bodyDiv w:val="1"/>
      <w:marLeft w:val="0"/>
      <w:marRight w:val="0"/>
      <w:marTop w:val="0"/>
      <w:marBottom w:val="0"/>
      <w:divBdr>
        <w:top w:val="none" w:sz="0" w:space="0" w:color="auto"/>
        <w:left w:val="none" w:sz="0" w:space="0" w:color="auto"/>
        <w:bottom w:val="none" w:sz="0" w:space="0" w:color="auto"/>
        <w:right w:val="none" w:sz="0" w:space="0" w:color="auto"/>
      </w:divBdr>
    </w:div>
    <w:div w:id="21362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10.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5.xml"/><Relationship Id="rId28" Type="http://schemas.microsoft.com/office/2011/relationships/people" Target="people.xm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11.png"/><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1" Type="http://schemas.openxmlformats.org/officeDocument/2006/relationships/oleObject" Target="file:///D:\2015\SUDEP\Plan\Plan%20Report\Book1.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15\SUDEP\Plan\Plan%20Report\Book1.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15\SUDEP\Plan\Plan%20Report\Book1.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15\SUDEP\Plan\Plan%20Report\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5\SUDEP\Plan\Plan%20Report\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9973366373558238"/>
          <c:y val="4.1086837569072096E-2"/>
          <c:w val="0.56650590551181101"/>
          <c:h val="0.86671747453586789"/>
        </c:manualLayout>
      </c:layout>
      <c:barChart>
        <c:barDir val="col"/>
        <c:grouping val="stacked"/>
        <c:ser>
          <c:idx val="0"/>
          <c:order val="0"/>
          <c:tx>
            <c:strRef>
              <c:f>Sheet1!$J$2</c:f>
              <c:strCache>
                <c:ptCount val="1"/>
                <c:pt idx="0">
                  <c:v>Municipal</c:v>
                </c:pt>
              </c:strCache>
            </c:strRef>
          </c:tx>
          <c:cat>
            <c:numRef>
              <c:f>Sheet1!$M$1</c:f>
              <c:numCache>
                <c:formatCode>General</c:formatCode>
                <c:ptCount val="1"/>
                <c:pt idx="0">
                  <c:v>2014</c:v>
                </c:pt>
              </c:numCache>
            </c:numRef>
          </c:cat>
          <c:val>
            <c:numRef>
              <c:f>Sheet1!$O$2</c:f>
              <c:numCache>
                <c:formatCode>#,##0</c:formatCode>
                <c:ptCount val="1"/>
                <c:pt idx="0">
                  <c:v>486.11052000000001</c:v>
                </c:pt>
              </c:numCache>
            </c:numRef>
          </c:val>
        </c:ser>
        <c:ser>
          <c:idx val="1"/>
          <c:order val="1"/>
          <c:tx>
            <c:strRef>
              <c:f>Sheet1!$J$3</c:f>
              <c:strCache>
                <c:ptCount val="1"/>
                <c:pt idx="0">
                  <c:v>Commercial</c:v>
                </c:pt>
              </c:strCache>
            </c:strRef>
          </c:tx>
          <c:cat>
            <c:numRef>
              <c:f>Sheet1!$M$1</c:f>
              <c:numCache>
                <c:formatCode>General</c:formatCode>
                <c:ptCount val="1"/>
                <c:pt idx="0">
                  <c:v>2014</c:v>
                </c:pt>
              </c:numCache>
            </c:numRef>
          </c:cat>
          <c:val>
            <c:numRef>
              <c:f>Sheet1!$O$3</c:f>
              <c:numCache>
                <c:formatCode>#,##0</c:formatCode>
                <c:ptCount val="1"/>
                <c:pt idx="0">
                  <c:v>5316.2998559999996</c:v>
                </c:pt>
              </c:numCache>
            </c:numRef>
          </c:val>
        </c:ser>
        <c:ser>
          <c:idx val="2"/>
          <c:order val="2"/>
          <c:tx>
            <c:strRef>
              <c:f>Sheet1!$J$4</c:f>
              <c:strCache>
                <c:ptCount val="1"/>
                <c:pt idx="0">
                  <c:v>Residental</c:v>
                </c:pt>
              </c:strCache>
            </c:strRef>
          </c:tx>
          <c:cat>
            <c:numRef>
              <c:f>Sheet1!$M$1</c:f>
              <c:numCache>
                <c:formatCode>General</c:formatCode>
                <c:ptCount val="1"/>
                <c:pt idx="0">
                  <c:v>2014</c:v>
                </c:pt>
              </c:numCache>
            </c:numRef>
          </c:cat>
          <c:val>
            <c:numRef>
              <c:f>Sheet1!$O$4</c:f>
              <c:numCache>
                <c:formatCode>#,##0</c:formatCode>
                <c:ptCount val="1"/>
                <c:pt idx="0">
                  <c:v>16961.572824000021</c:v>
                </c:pt>
              </c:numCache>
            </c:numRef>
          </c:val>
        </c:ser>
        <c:ser>
          <c:idx val="3"/>
          <c:order val="3"/>
          <c:tx>
            <c:strRef>
              <c:f>Sheet1!$J$5</c:f>
              <c:strCache>
                <c:ptCount val="1"/>
                <c:pt idx="0">
                  <c:v>Public Lighting </c:v>
                </c:pt>
              </c:strCache>
            </c:strRef>
          </c:tx>
          <c:cat>
            <c:numRef>
              <c:f>Sheet1!$M$1</c:f>
              <c:numCache>
                <c:formatCode>General</c:formatCode>
                <c:ptCount val="1"/>
                <c:pt idx="0">
                  <c:v>2014</c:v>
                </c:pt>
              </c:numCache>
            </c:numRef>
          </c:cat>
          <c:val>
            <c:numRef>
              <c:f>Sheet1!$O$5</c:f>
              <c:numCache>
                <c:formatCode>#,##0</c:formatCode>
                <c:ptCount val="1"/>
                <c:pt idx="0">
                  <c:v>207.97400399999998</c:v>
                </c:pt>
              </c:numCache>
            </c:numRef>
          </c:val>
        </c:ser>
        <c:ser>
          <c:idx val="5"/>
          <c:order val="4"/>
          <c:tx>
            <c:strRef>
              <c:f>Sheet1!$J$7</c:f>
              <c:strCache>
                <c:ptCount val="1"/>
                <c:pt idx="0">
                  <c:v>Other</c:v>
                </c:pt>
              </c:strCache>
            </c:strRef>
          </c:tx>
          <c:cat>
            <c:numRef>
              <c:f>Sheet1!$M$1</c:f>
              <c:numCache>
                <c:formatCode>General</c:formatCode>
                <c:ptCount val="1"/>
                <c:pt idx="0">
                  <c:v>2014</c:v>
                </c:pt>
              </c:numCache>
            </c:numRef>
          </c:cat>
          <c:val>
            <c:numRef>
              <c:f>Sheet1!$O$7</c:f>
              <c:numCache>
                <c:formatCode>#,##0</c:formatCode>
                <c:ptCount val="1"/>
                <c:pt idx="0">
                  <c:v>1187.1141799999998</c:v>
                </c:pt>
              </c:numCache>
            </c:numRef>
          </c:val>
        </c:ser>
        <c:ser>
          <c:idx val="6"/>
          <c:order val="5"/>
          <c:tx>
            <c:strRef>
              <c:f>Sheet1!$J$8</c:f>
              <c:strCache>
                <c:ptCount val="1"/>
                <c:pt idx="0">
                  <c:v>Water Pumping</c:v>
                </c:pt>
              </c:strCache>
            </c:strRef>
          </c:tx>
          <c:cat>
            <c:numRef>
              <c:f>Sheet1!$M$1</c:f>
              <c:numCache>
                <c:formatCode>General</c:formatCode>
                <c:ptCount val="1"/>
                <c:pt idx="0">
                  <c:v>2014</c:v>
                </c:pt>
              </c:numCache>
            </c:numRef>
          </c:cat>
          <c:val>
            <c:numRef>
              <c:f>Sheet1!$O$8</c:f>
              <c:numCache>
                <c:formatCode>#,##0</c:formatCode>
                <c:ptCount val="1"/>
                <c:pt idx="0">
                  <c:v>517.018012</c:v>
                </c:pt>
              </c:numCache>
            </c:numRef>
          </c:val>
        </c:ser>
        <c:ser>
          <c:idx val="7"/>
          <c:order val="6"/>
          <c:tx>
            <c:strRef>
              <c:f>Sheet1!$J$9</c:f>
              <c:strCache>
                <c:ptCount val="1"/>
                <c:pt idx="0">
                  <c:v>Waste</c:v>
                </c:pt>
              </c:strCache>
            </c:strRef>
          </c:tx>
          <c:cat>
            <c:numRef>
              <c:f>Sheet1!$M$1</c:f>
              <c:numCache>
                <c:formatCode>General</c:formatCode>
                <c:ptCount val="1"/>
                <c:pt idx="0">
                  <c:v>2014</c:v>
                </c:pt>
              </c:numCache>
            </c:numRef>
          </c:cat>
          <c:val>
            <c:numRef>
              <c:f>Sheet1!$O$9</c:f>
              <c:numCache>
                <c:formatCode>#,##0</c:formatCode>
                <c:ptCount val="1"/>
                <c:pt idx="0">
                  <c:v>12875</c:v>
                </c:pt>
              </c:numCache>
            </c:numRef>
          </c:val>
        </c:ser>
        <c:ser>
          <c:idx val="8"/>
          <c:order val="7"/>
          <c:tx>
            <c:strRef>
              <c:f>Sheet1!$J$10</c:f>
              <c:strCache>
                <c:ptCount val="1"/>
                <c:pt idx="0">
                  <c:v>Transportation</c:v>
                </c:pt>
              </c:strCache>
            </c:strRef>
          </c:tx>
          <c:cat>
            <c:numRef>
              <c:f>Sheet1!$M$1</c:f>
              <c:numCache>
                <c:formatCode>General</c:formatCode>
                <c:ptCount val="1"/>
                <c:pt idx="0">
                  <c:v>2014</c:v>
                </c:pt>
              </c:numCache>
            </c:numRef>
          </c:cat>
          <c:val>
            <c:numRef>
              <c:f>Sheet1!$O$10</c:f>
              <c:numCache>
                <c:formatCode>#,##0</c:formatCode>
                <c:ptCount val="1"/>
                <c:pt idx="0">
                  <c:v>13889</c:v>
                </c:pt>
              </c:numCache>
            </c:numRef>
          </c:val>
        </c:ser>
        <c:overlap val="100"/>
        <c:axId val="119992320"/>
        <c:axId val="119994624"/>
      </c:barChart>
      <c:catAx>
        <c:axId val="119992320"/>
        <c:scaling>
          <c:orientation val="minMax"/>
        </c:scaling>
        <c:axPos val="b"/>
        <c:numFmt formatCode="General" sourceLinked="1"/>
        <c:tickLblPos val="nextTo"/>
        <c:crossAx val="119994624"/>
        <c:crosses val="autoZero"/>
        <c:auto val="1"/>
        <c:lblAlgn val="ctr"/>
        <c:lblOffset val="100"/>
      </c:catAx>
      <c:valAx>
        <c:axId val="119994624"/>
        <c:scaling>
          <c:orientation val="minMax"/>
        </c:scaling>
        <c:axPos val="l"/>
        <c:majorGridlines/>
        <c:title>
          <c:tx>
            <c:rich>
              <a:bodyPr rot="-5400000" vert="horz"/>
              <a:lstStyle/>
              <a:p>
                <a:pPr>
                  <a:defRPr/>
                </a:pPr>
                <a:r>
                  <a:rPr lang="en-US" sz="900"/>
                  <a:t>CO2 Emission (Ton/year)</a:t>
                </a:r>
              </a:p>
            </c:rich>
          </c:tx>
          <c:layout>
            <c:manualLayout>
              <c:xMode val="edge"/>
              <c:yMode val="edge"/>
              <c:x val="6.7200925460096711E-3"/>
              <c:y val="0.29182219402107085"/>
            </c:manualLayout>
          </c:layout>
        </c:title>
        <c:numFmt formatCode="#,##0" sourceLinked="1"/>
        <c:tickLblPos val="nextTo"/>
        <c:crossAx val="119992320"/>
        <c:crosses val="autoZero"/>
        <c:crossBetween val="between"/>
        <c:majorUnit val="5000"/>
      </c:valAx>
    </c:plotArea>
    <c:legend>
      <c:legendPos val="r"/>
      <c:layout>
        <c:manualLayout>
          <c:xMode val="edge"/>
          <c:yMode val="edge"/>
          <c:x val="0.7982439491480503"/>
          <c:y val="0.19214061299827617"/>
          <c:w val="0.18536836008245763"/>
          <c:h val="0.58741461516131555"/>
        </c:manualLayout>
      </c:layout>
      <c:txPr>
        <a:bodyPr/>
        <a:lstStyle/>
        <a:p>
          <a:pPr>
            <a:defRPr sz="70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Sheet1!$J$2</c:f>
              <c:strCache>
                <c:ptCount val="1"/>
                <c:pt idx="0">
                  <c:v>Municipal</c:v>
                </c:pt>
              </c:strCache>
            </c:strRef>
          </c:tx>
          <c:cat>
            <c:numRef>
              <c:f>Sheet1!$S$1</c:f>
              <c:numCache>
                <c:formatCode>General</c:formatCode>
                <c:ptCount val="1"/>
                <c:pt idx="0">
                  <c:v>2025</c:v>
                </c:pt>
              </c:numCache>
            </c:numRef>
          </c:cat>
          <c:val>
            <c:numRef>
              <c:f>Sheet1!$S$2</c:f>
              <c:numCache>
                <c:formatCode>General</c:formatCode>
                <c:ptCount val="1"/>
                <c:pt idx="0">
                  <c:v>97.222104000000002</c:v>
                </c:pt>
              </c:numCache>
            </c:numRef>
          </c:val>
        </c:ser>
        <c:ser>
          <c:idx val="1"/>
          <c:order val="1"/>
          <c:tx>
            <c:strRef>
              <c:f>Sheet1!$J$3</c:f>
              <c:strCache>
                <c:ptCount val="1"/>
                <c:pt idx="0">
                  <c:v>Commercial</c:v>
                </c:pt>
              </c:strCache>
            </c:strRef>
          </c:tx>
          <c:cat>
            <c:numRef>
              <c:f>Sheet1!$S$1</c:f>
              <c:numCache>
                <c:formatCode>General</c:formatCode>
                <c:ptCount val="1"/>
                <c:pt idx="0">
                  <c:v>2025</c:v>
                </c:pt>
              </c:numCache>
            </c:numRef>
          </c:cat>
          <c:val>
            <c:numRef>
              <c:f>Sheet1!$S$3</c:f>
              <c:numCache>
                <c:formatCode>General</c:formatCode>
                <c:ptCount val="1"/>
                <c:pt idx="0">
                  <c:v>1063.2599712000001</c:v>
                </c:pt>
              </c:numCache>
            </c:numRef>
          </c:val>
        </c:ser>
        <c:ser>
          <c:idx val="2"/>
          <c:order val="2"/>
          <c:tx>
            <c:strRef>
              <c:f>Sheet1!$J$4</c:f>
              <c:strCache>
                <c:ptCount val="1"/>
                <c:pt idx="0">
                  <c:v>Residental</c:v>
                </c:pt>
              </c:strCache>
            </c:strRef>
          </c:tx>
          <c:cat>
            <c:numRef>
              <c:f>Sheet1!$S$1</c:f>
              <c:numCache>
                <c:formatCode>General</c:formatCode>
                <c:ptCount val="1"/>
                <c:pt idx="0">
                  <c:v>2025</c:v>
                </c:pt>
              </c:numCache>
            </c:numRef>
          </c:cat>
          <c:val>
            <c:numRef>
              <c:f>Sheet1!$S$4</c:f>
              <c:numCache>
                <c:formatCode>General</c:formatCode>
                <c:ptCount val="1"/>
                <c:pt idx="0">
                  <c:v>3392.3145648000022</c:v>
                </c:pt>
              </c:numCache>
            </c:numRef>
          </c:val>
        </c:ser>
        <c:ser>
          <c:idx val="3"/>
          <c:order val="3"/>
          <c:tx>
            <c:strRef>
              <c:f>Sheet1!$J$5</c:f>
              <c:strCache>
                <c:ptCount val="1"/>
                <c:pt idx="0">
                  <c:v>Public Lighting </c:v>
                </c:pt>
              </c:strCache>
            </c:strRef>
          </c:tx>
          <c:cat>
            <c:numRef>
              <c:f>Sheet1!$S$1</c:f>
              <c:numCache>
                <c:formatCode>General</c:formatCode>
                <c:ptCount val="1"/>
                <c:pt idx="0">
                  <c:v>2025</c:v>
                </c:pt>
              </c:numCache>
            </c:numRef>
          </c:cat>
          <c:val>
            <c:numRef>
              <c:f>Sheet1!$S$5</c:f>
              <c:numCache>
                <c:formatCode>General</c:formatCode>
                <c:ptCount val="1"/>
                <c:pt idx="0">
                  <c:v>41.594800800000009</c:v>
                </c:pt>
              </c:numCache>
            </c:numRef>
          </c:val>
        </c:ser>
        <c:ser>
          <c:idx val="4"/>
          <c:order val="4"/>
          <c:tx>
            <c:strRef>
              <c:f>Sheet1!$J$7</c:f>
              <c:strCache>
                <c:ptCount val="1"/>
                <c:pt idx="0">
                  <c:v>Other</c:v>
                </c:pt>
              </c:strCache>
            </c:strRef>
          </c:tx>
          <c:cat>
            <c:numRef>
              <c:f>Sheet1!$S$1</c:f>
              <c:numCache>
                <c:formatCode>General</c:formatCode>
                <c:ptCount val="1"/>
                <c:pt idx="0">
                  <c:v>2025</c:v>
                </c:pt>
              </c:numCache>
            </c:numRef>
          </c:cat>
          <c:val>
            <c:numRef>
              <c:f>Sheet1!$S$7</c:f>
              <c:numCache>
                <c:formatCode>General</c:formatCode>
                <c:ptCount val="1"/>
                <c:pt idx="0">
                  <c:v>237.4228360000003</c:v>
                </c:pt>
              </c:numCache>
            </c:numRef>
          </c:val>
        </c:ser>
        <c:ser>
          <c:idx val="5"/>
          <c:order val="5"/>
          <c:tx>
            <c:strRef>
              <c:f>Sheet1!$J$8</c:f>
              <c:strCache>
                <c:ptCount val="1"/>
                <c:pt idx="0">
                  <c:v>Water Pumping</c:v>
                </c:pt>
              </c:strCache>
            </c:strRef>
          </c:tx>
          <c:cat>
            <c:numRef>
              <c:f>Sheet1!$S$1</c:f>
              <c:numCache>
                <c:formatCode>General</c:formatCode>
                <c:ptCount val="1"/>
                <c:pt idx="0">
                  <c:v>2025</c:v>
                </c:pt>
              </c:numCache>
            </c:numRef>
          </c:cat>
          <c:val>
            <c:numRef>
              <c:f>Sheet1!$S$8</c:f>
              <c:numCache>
                <c:formatCode>General</c:formatCode>
                <c:ptCount val="1"/>
                <c:pt idx="0">
                  <c:v>103.4036024000001</c:v>
                </c:pt>
              </c:numCache>
            </c:numRef>
          </c:val>
        </c:ser>
        <c:ser>
          <c:idx val="6"/>
          <c:order val="6"/>
          <c:tx>
            <c:strRef>
              <c:f>Sheet1!$J$10</c:f>
              <c:strCache>
                <c:ptCount val="1"/>
                <c:pt idx="0">
                  <c:v>Transportation</c:v>
                </c:pt>
              </c:strCache>
            </c:strRef>
          </c:tx>
          <c:cat>
            <c:numRef>
              <c:f>Sheet1!$S$1</c:f>
              <c:numCache>
                <c:formatCode>General</c:formatCode>
                <c:ptCount val="1"/>
                <c:pt idx="0">
                  <c:v>2025</c:v>
                </c:pt>
              </c:numCache>
            </c:numRef>
          </c:cat>
          <c:val>
            <c:numRef>
              <c:f>Sheet1!$S$10</c:f>
              <c:numCache>
                <c:formatCode>General</c:formatCode>
                <c:ptCount val="1"/>
                <c:pt idx="0">
                  <c:v>833.33999999999946</c:v>
                </c:pt>
              </c:numCache>
            </c:numRef>
          </c:val>
        </c:ser>
        <c:overlap val="100"/>
        <c:axId val="115185152"/>
        <c:axId val="115186688"/>
      </c:barChart>
      <c:catAx>
        <c:axId val="115185152"/>
        <c:scaling>
          <c:orientation val="minMax"/>
        </c:scaling>
        <c:axPos val="b"/>
        <c:numFmt formatCode="General" sourceLinked="1"/>
        <c:tickLblPos val="nextTo"/>
        <c:crossAx val="115186688"/>
        <c:crosses val="autoZero"/>
        <c:auto val="1"/>
        <c:lblAlgn val="ctr"/>
        <c:lblOffset val="100"/>
      </c:catAx>
      <c:valAx>
        <c:axId val="115186688"/>
        <c:scaling>
          <c:orientation val="minMax"/>
          <c:max val="6000"/>
        </c:scaling>
        <c:axPos val="l"/>
        <c:majorGridlines/>
        <c:title>
          <c:tx>
            <c:rich>
              <a:bodyPr rot="-5400000" vert="horz"/>
              <a:lstStyle/>
              <a:p>
                <a:pPr>
                  <a:defRPr/>
                </a:pPr>
                <a:r>
                  <a:rPr lang="en-US"/>
                  <a:t>CO2 Reduction (Ton)</a:t>
                </a:r>
              </a:p>
            </c:rich>
          </c:tx>
        </c:title>
        <c:numFmt formatCode="General" sourceLinked="1"/>
        <c:tickLblPos val="nextTo"/>
        <c:txPr>
          <a:bodyPr/>
          <a:lstStyle/>
          <a:p>
            <a:pPr>
              <a:defRPr sz="900"/>
            </a:pPr>
            <a:endParaRPr lang="en-US"/>
          </a:p>
        </c:txPr>
        <c:crossAx val="115185152"/>
        <c:crosses val="autoZero"/>
        <c:crossBetween val="between"/>
        <c:majorUnit val="500"/>
      </c:valAx>
    </c:plotArea>
    <c:legend>
      <c:legendPos val="r"/>
      <c:txPr>
        <a:bodyPr/>
        <a:lstStyle/>
        <a:p>
          <a:pPr>
            <a:defRPr sz="9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doughnutChart>
        <c:varyColors val="1"/>
        <c:ser>
          <c:idx val="0"/>
          <c:order val="0"/>
          <c:dLbls>
            <c:dLbl>
              <c:idx val="0"/>
              <c:layout>
                <c:manualLayout>
                  <c:x val="5.5555555555555558E-3"/>
                  <c:y val="-0.12499999999999997"/>
                </c:manualLayout>
              </c:layout>
              <c:showPercent val="1"/>
            </c:dLbl>
            <c:dLbl>
              <c:idx val="3"/>
              <c:layout>
                <c:manualLayout>
                  <c:x val="-0.11264001742136565"/>
                  <c:y val="-1.1196306558416977E-2"/>
                </c:manualLayout>
              </c:layout>
              <c:showPercent val="1"/>
            </c:dLbl>
            <c:dLbl>
              <c:idx val="4"/>
              <c:layout>
                <c:manualLayout>
                  <c:x val="-0.10437611213583943"/>
                  <c:y val="-5.2927719652434882E-2"/>
                </c:manualLayout>
              </c:layout>
              <c:showPercent val="1"/>
            </c:dLbl>
            <c:dLbl>
              <c:idx val="5"/>
              <c:layout>
                <c:manualLayout>
                  <c:x val="-7.6523878647067708E-2"/>
                  <c:y val="-9.0000000000000024E-2"/>
                </c:manualLayout>
              </c:layout>
              <c:showPercent val="1"/>
            </c:dLbl>
            <c:numFmt formatCode="0.0%" sourceLinked="0"/>
            <c:txPr>
              <a:bodyPr/>
              <a:lstStyle/>
              <a:p>
                <a:pPr>
                  <a:defRPr sz="900"/>
                </a:pPr>
                <a:endParaRPr lang="en-US"/>
              </a:p>
            </c:txPr>
            <c:showPercent val="1"/>
            <c:showLeaderLines val="1"/>
          </c:dLbls>
          <c:cat>
            <c:strRef>
              <c:f>(Sheet1!$J$2:$J$5,Sheet1!$J$7:$J$8,Sheet1!$J$10)</c:f>
              <c:strCache>
                <c:ptCount val="7"/>
                <c:pt idx="0">
                  <c:v>Municipal</c:v>
                </c:pt>
                <c:pt idx="1">
                  <c:v>Commercial</c:v>
                </c:pt>
                <c:pt idx="2">
                  <c:v>Residental</c:v>
                </c:pt>
                <c:pt idx="3">
                  <c:v>Public Lighting </c:v>
                </c:pt>
                <c:pt idx="4">
                  <c:v>Other</c:v>
                </c:pt>
                <c:pt idx="5">
                  <c:v>Water Pumping</c:v>
                </c:pt>
                <c:pt idx="6">
                  <c:v>Transportation</c:v>
                </c:pt>
              </c:strCache>
            </c:strRef>
          </c:cat>
          <c:val>
            <c:numRef>
              <c:f>(Sheet1!$S$2:$S$5,Sheet1!$S$7:$S$8,Sheet1!$S$10)</c:f>
              <c:numCache>
                <c:formatCode>General</c:formatCode>
                <c:ptCount val="7"/>
                <c:pt idx="0">
                  <c:v>97.222104000000002</c:v>
                </c:pt>
                <c:pt idx="1">
                  <c:v>1063.2599712000001</c:v>
                </c:pt>
                <c:pt idx="2">
                  <c:v>3392.3145648000022</c:v>
                </c:pt>
                <c:pt idx="3">
                  <c:v>41.594800800000009</c:v>
                </c:pt>
                <c:pt idx="4">
                  <c:v>237.4228360000003</c:v>
                </c:pt>
                <c:pt idx="5">
                  <c:v>103.4036024000001</c:v>
                </c:pt>
                <c:pt idx="6">
                  <c:v>833.33999999999946</c:v>
                </c:pt>
              </c:numCache>
            </c:numRef>
          </c:val>
        </c:ser>
        <c:dLbls>
          <c:showPercent val="1"/>
        </c:dLbls>
        <c:firstSliceAng val="0"/>
        <c:holeSize val="50"/>
      </c:doughnutChart>
    </c:plotArea>
    <c:legend>
      <c:legendPos val="r"/>
      <c:layout>
        <c:manualLayout>
          <c:xMode val="edge"/>
          <c:yMode val="edge"/>
          <c:x val="0.72259197330063474"/>
          <c:y val="0.11008462696551156"/>
          <c:w val="0.21711939138837788"/>
          <c:h val="0.78414030860495143"/>
        </c:manualLayout>
      </c:layout>
      <c:txPr>
        <a:bodyPr/>
        <a:lstStyle/>
        <a:p>
          <a:pPr>
            <a:defRPr sz="750"/>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Sheet15!$D$10</c:f>
              <c:strCache>
                <c:ptCount val="1"/>
                <c:pt idx="0">
                  <c:v>Baseline Consumption</c:v>
                </c:pt>
              </c:strCache>
            </c:strRef>
          </c:tx>
          <c:spPr>
            <a:solidFill>
              <a:srgbClr val="FF9933"/>
            </a:solidFill>
          </c:spPr>
          <c:cat>
            <c:strRef>
              <c:f>Sheet15!$F$11:$Q$11</c:f>
              <c:strCache>
                <c:ptCount val="12"/>
                <c:pt idx="0">
                  <c:v>Baseline year</c:v>
                </c:pt>
                <c:pt idx="1">
                  <c:v>2016</c:v>
                </c:pt>
                <c:pt idx="2">
                  <c:v>2017</c:v>
                </c:pt>
                <c:pt idx="3">
                  <c:v>2018</c:v>
                </c:pt>
                <c:pt idx="4">
                  <c:v>2019</c:v>
                </c:pt>
                <c:pt idx="5">
                  <c:v>2020</c:v>
                </c:pt>
                <c:pt idx="6">
                  <c:v>2021</c:v>
                </c:pt>
                <c:pt idx="7">
                  <c:v>2022</c:v>
                </c:pt>
                <c:pt idx="8">
                  <c:v>2023</c:v>
                </c:pt>
                <c:pt idx="9">
                  <c:v>2024</c:v>
                </c:pt>
                <c:pt idx="10">
                  <c:v>2025</c:v>
                </c:pt>
                <c:pt idx="11">
                  <c:v>Total</c:v>
                </c:pt>
              </c:strCache>
            </c:strRef>
          </c:cat>
          <c:val>
            <c:numRef>
              <c:f>Sheet15!$F$10:$Q$10</c:f>
              <c:numCache>
                <c:formatCode>General</c:formatCode>
                <c:ptCount val="12"/>
                <c:pt idx="0" formatCode="#,##0">
                  <c:v>38343.799499999994</c:v>
                </c:pt>
              </c:numCache>
            </c:numRef>
          </c:val>
        </c:ser>
        <c:ser>
          <c:idx val="5"/>
          <c:order val="1"/>
          <c:tx>
            <c:strRef>
              <c:f>Sheet15!$D$17</c:f>
              <c:strCache>
                <c:ptCount val="1"/>
                <c:pt idx="0">
                  <c:v>Remaining Energy Consumption</c:v>
                </c:pt>
              </c:strCache>
            </c:strRef>
          </c:tx>
          <c:spPr>
            <a:solidFill>
              <a:srgbClr val="0070C0"/>
            </a:solidFill>
          </c:spPr>
          <c:dPt>
            <c:idx val="11"/>
            <c:spPr>
              <a:solidFill>
                <a:srgbClr val="0070C0"/>
              </a:solidFill>
              <a:ln>
                <a:noFill/>
              </a:ln>
            </c:spPr>
          </c:dPt>
          <c:cat>
            <c:strRef>
              <c:f>Sheet15!$F$11:$Q$11</c:f>
              <c:strCache>
                <c:ptCount val="12"/>
                <c:pt idx="0">
                  <c:v>Baseline year</c:v>
                </c:pt>
                <c:pt idx="1">
                  <c:v>2016</c:v>
                </c:pt>
                <c:pt idx="2">
                  <c:v>2017</c:v>
                </c:pt>
                <c:pt idx="3">
                  <c:v>2018</c:v>
                </c:pt>
                <c:pt idx="4">
                  <c:v>2019</c:v>
                </c:pt>
                <c:pt idx="5">
                  <c:v>2020</c:v>
                </c:pt>
                <c:pt idx="6">
                  <c:v>2021</c:v>
                </c:pt>
                <c:pt idx="7">
                  <c:v>2022</c:v>
                </c:pt>
                <c:pt idx="8">
                  <c:v>2023</c:v>
                </c:pt>
                <c:pt idx="9">
                  <c:v>2024</c:v>
                </c:pt>
                <c:pt idx="10">
                  <c:v>2025</c:v>
                </c:pt>
                <c:pt idx="11">
                  <c:v>Total</c:v>
                </c:pt>
              </c:strCache>
            </c:strRef>
          </c:cat>
          <c:val>
            <c:numRef>
              <c:f>Sheet15!$F$17:$Q$17</c:f>
              <c:numCache>
                <c:formatCode>#,##0</c:formatCode>
                <c:ptCount val="12"/>
                <c:pt idx="1">
                  <c:v>37768.642507500001</c:v>
                </c:pt>
                <c:pt idx="2">
                  <c:v>37193.485515000051</c:v>
                </c:pt>
                <c:pt idx="3">
                  <c:v>36503.297123999975</c:v>
                </c:pt>
                <c:pt idx="4">
                  <c:v>35813.108733000001</c:v>
                </c:pt>
                <c:pt idx="5">
                  <c:v>35115.251582099991</c:v>
                </c:pt>
                <c:pt idx="6">
                  <c:v>34808.501186099988</c:v>
                </c:pt>
                <c:pt idx="7">
                  <c:v>34501.750790099992</c:v>
                </c:pt>
                <c:pt idx="8">
                  <c:v>34233.344193600002</c:v>
                </c:pt>
                <c:pt idx="9">
                  <c:v>34079.968995599993</c:v>
                </c:pt>
                <c:pt idx="10">
                  <c:v>33926.593797599984</c:v>
                </c:pt>
                <c:pt idx="11">
                  <c:v>33926.593797599984</c:v>
                </c:pt>
              </c:numCache>
            </c:numRef>
          </c:val>
        </c:ser>
        <c:ser>
          <c:idx val="1"/>
          <c:order val="2"/>
          <c:tx>
            <c:strRef>
              <c:f>Sheet15!$B$12</c:f>
              <c:strCache>
                <c:ptCount val="1"/>
                <c:pt idx="0">
                  <c:v>Energy Saving due to Installing Energy Efficient lighting units</c:v>
                </c:pt>
              </c:strCache>
            </c:strRef>
          </c:tx>
          <c:spPr>
            <a:solidFill>
              <a:schemeClr val="bg1">
                <a:lumMod val="65000"/>
              </a:schemeClr>
            </a:solidFill>
          </c:spPr>
          <c:cat>
            <c:strRef>
              <c:f>Sheet15!$F$11:$Q$11</c:f>
              <c:strCache>
                <c:ptCount val="12"/>
                <c:pt idx="0">
                  <c:v>Baseline year</c:v>
                </c:pt>
                <c:pt idx="1">
                  <c:v>2016</c:v>
                </c:pt>
                <c:pt idx="2">
                  <c:v>2017</c:v>
                </c:pt>
                <c:pt idx="3">
                  <c:v>2018</c:v>
                </c:pt>
                <c:pt idx="4">
                  <c:v>2019</c:v>
                </c:pt>
                <c:pt idx="5">
                  <c:v>2020</c:v>
                </c:pt>
                <c:pt idx="6">
                  <c:v>2021</c:v>
                </c:pt>
                <c:pt idx="7">
                  <c:v>2022</c:v>
                </c:pt>
                <c:pt idx="8">
                  <c:v>2023</c:v>
                </c:pt>
                <c:pt idx="9">
                  <c:v>2024</c:v>
                </c:pt>
                <c:pt idx="10">
                  <c:v>2025</c:v>
                </c:pt>
                <c:pt idx="11">
                  <c:v>Total</c:v>
                </c:pt>
              </c:strCache>
            </c:strRef>
          </c:cat>
          <c:val>
            <c:numRef>
              <c:f>Sheet15!$F$12:$Q$12</c:f>
              <c:numCache>
                <c:formatCode>#,##0</c:formatCode>
                <c:ptCount val="12"/>
                <c:pt idx="1">
                  <c:v>191.7189975</c:v>
                </c:pt>
                <c:pt idx="2">
                  <c:v>230.06279700000007</c:v>
                </c:pt>
                <c:pt idx="3">
                  <c:v>249.23469674999996</c:v>
                </c:pt>
                <c:pt idx="4">
                  <c:v>249.23469674999996</c:v>
                </c:pt>
                <c:pt idx="5">
                  <c:v>191.7189975</c:v>
                </c:pt>
                <c:pt idx="6">
                  <c:v>153.37519800000001</c:v>
                </c:pt>
                <c:pt idx="7">
                  <c:v>153.37519800000001</c:v>
                </c:pt>
                <c:pt idx="8">
                  <c:v>115.03139849999981</c:v>
                </c:pt>
                <c:pt idx="11">
                  <c:v>1533.7519799999995</c:v>
                </c:pt>
              </c:numCache>
            </c:numRef>
          </c:val>
        </c:ser>
        <c:ser>
          <c:idx val="2"/>
          <c:order val="3"/>
          <c:tx>
            <c:strRef>
              <c:f>Sheet15!$B$13</c:f>
              <c:strCache>
                <c:ptCount val="1"/>
                <c:pt idx="0">
                  <c:v>Energy Saving due to Installing Motion Sensors</c:v>
                </c:pt>
              </c:strCache>
            </c:strRef>
          </c:tx>
          <c:spPr>
            <a:solidFill>
              <a:srgbClr val="FF0000"/>
            </a:solidFill>
          </c:spPr>
          <c:cat>
            <c:strRef>
              <c:f>Sheet15!$F$11:$Q$11</c:f>
              <c:strCache>
                <c:ptCount val="12"/>
                <c:pt idx="0">
                  <c:v>Baseline year</c:v>
                </c:pt>
                <c:pt idx="1">
                  <c:v>2016</c:v>
                </c:pt>
                <c:pt idx="2">
                  <c:v>2017</c:v>
                </c:pt>
                <c:pt idx="3">
                  <c:v>2018</c:v>
                </c:pt>
                <c:pt idx="4">
                  <c:v>2019</c:v>
                </c:pt>
                <c:pt idx="5">
                  <c:v>2020</c:v>
                </c:pt>
                <c:pt idx="6">
                  <c:v>2021</c:v>
                </c:pt>
                <c:pt idx="7">
                  <c:v>2022</c:v>
                </c:pt>
                <c:pt idx="8">
                  <c:v>2023</c:v>
                </c:pt>
                <c:pt idx="9">
                  <c:v>2024</c:v>
                </c:pt>
                <c:pt idx="10">
                  <c:v>2025</c:v>
                </c:pt>
                <c:pt idx="11">
                  <c:v>Total</c:v>
                </c:pt>
              </c:strCache>
            </c:strRef>
          </c:cat>
          <c:val>
            <c:numRef>
              <c:f>Sheet15!$F$13:$Q$13</c:f>
              <c:numCache>
                <c:formatCode>#,##0</c:formatCode>
                <c:ptCount val="12"/>
                <c:pt idx="1">
                  <c:v>76.687599000000006</c:v>
                </c:pt>
                <c:pt idx="2">
                  <c:v>76.687599000000006</c:v>
                </c:pt>
                <c:pt idx="3">
                  <c:v>76.687599000000006</c:v>
                </c:pt>
                <c:pt idx="4">
                  <c:v>76.687599000000006</c:v>
                </c:pt>
                <c:pt idx="5">
                  <c:v>76.687599000000006</c:v>
                </c:pt>
                <c:pt idx="11">
                  <c:v>383.43799499999955</c:v>
                </c:pt>
              </c:numCache>
            </c:numRef>
          </c:val>
        </c:ser>
        <c:ser>
          <c:idx val="3"/>
          <c:order val="4"/>
          <c:tx>
            <c:strRef>
              <c:f>Sheet15!$B$14</c:f>
              <c:strCache>
                <c:ptCount val="1"/>
                <c:pt idx="0">
                  <c:v>Energy Saving due to Installing Solar Water Heaters</c:v>
                </c:pt>
              </c:strCache>
            </c:strRef>
          </c:tx>
          <c:spPr>
            <a:solidFill>
              <a:srgbClr val="FFFF00"/>
            </a:solidFill>
          </c:spPr>
          <c:cat>
            <c:strRef>
              <c:f>Sheet15!$F$11:$Q$11</c:f>
              <c:strCache>
                <c:ptCount val="12"/>
                <c:pt idx="0">
                  <c:v>Baseline year</c:v>
                </c:pt>
                <c:pt idx="1">
                  <c:v>2016</c:v>
                </c:pt>
                <c:pt idx="2">
                  <c:v>2017</c:v>
                </c:pt>
                <c:pt idx="3">
                  <c:v>2018</c:v>
                </c:pt>
                <c:pt idx="4">
                  <c:v>2019</c:v>
                </c:pt>
                <c:pt idx="5">
                  <c:v>2020</c:v>
                </c:pt>
                <c:pt idx="6">
                  <c:v>2021</c:v>
                </c:pt>
                <c:pt idx="7">
                  <c:v>2022</c:v>
                </c:pt>
                <c:pt idx="8">
                  <c:v>2023</c:v>
                </c:pt>
                <c:pt idx="9">
                  <c:v>2024</c:v>
                </c:pt>
                <c:pt idx="10">
                  <c:v>2025</c:v>
                </c:pt>
                <c:pt idx="11">
                  <c:v>Total</c:v>
                </c:pt>
              </c:strCache>
            </c:strRef>
          </c:cat>
          <c:val>
            <c:numRef>
              <c:f>Sheet15!$F$14:$Q$14</c:f>
              <c:numCache>
                <c:formatCode>#,##0</c:formatCode>
                <c:ptCount val="12"/>
                <c:pt idx="1">
                  <c:v>38.343799499999996</c:v>
                </c:pt>
                <c:pt idx="2">
                  <c:v>38.343799499999996</c:v>
                </c:pt>
                <c:pt idx="3">
                  <c:v>57.515699250000004</c:v>
                </c:pt>
                <c:pt idx="4">
                  <c:v>57.515699250000004</c:v>
                </c:pt>
                <c:pt idx="5">
                  <c:v>76.687599000000006</c:v>
                </c:pt>
                <c:pt idx="6">
                  <c:v>76.687599000000006</c:v>
                </c:pt>
                <c:pt idx="7">
                  <c:v>76.687599000000006</c:v>
                </c:pt>
                <c:pt idx="8">
                  <c:v>76.687599000000006</c:v>
                </c:pt>
                <c:pt idx="9">
                  <c:v>76.687599000000006</c:v>
                </c:pt>
                <c:pt idx="10">
                  <c:v>76.687599000000006</c:v>
                </c:pt>
                <c:pt idx="11">
                  <c:v>651.84459149999884</c:v>
                </c:pt>
              </c:numCache>
            </c:numRef>
          </c:val>
        </c:ser>
        <c:ser>
          <c:idx val="4"/>
          <c:order val="5"/>
          <c:tx>
            <c:strRef>
              <c:f>Sheet15!$B$15</c:f>
              <c:strCache>
                <c:ptCount val="1"/>
                <c:pt idx="0">
                  <c:v>Energy Saving due to Installing Photovoltaic systems</c:v>
                </c:pt>
              </c:strCache>
            </c:strRef>
          </c:tx>
          <c:spPr>
            <a:solidFill>
              <a:srgbClr val="00FF00"/>
            </a:solidFill>
          </c:spPr>
          <c:cat>
            <c:strRef>
              <c:f>Sheet15!$F$11:$Q$11</c:f>
              <c:strCache>
                <c:ptCount val="12"/>
                <c:pt idx="0">
                  <c:v>Baseline year</c:v>
                </c:pt>
                <c:pt idx="1">
                  <c:v>2016</c:v>
                </c:pt>
                <c:pt idx="2">
                  <c:v>2017</c:v>
                </c:pt>
                <c:pt idx="3">
                  <c:v>2018</c:v>
                </c:pt>
                <c:pt idx="4">
                  <c:v>2019</c:v>
                </c:pt>
                <c:pt idx="5">
                  <c:v>2020</c:v>
                </c:pt>
                <c:pt idx="6">
                  <c:v>2021</c:v>
                </c:pt>
                <c:pt idx="7">
                  <c:v>2022</c:v>
                </c:pt>
                <c:pt idx="8">
                  <c:v>2023</c:v>
                </c:pt>
                <c:pt idx="9">
                  <c:v>2024</c:v>
                </c:pt>
                <c:pt idx="10">
                  <c:v>2025</c:v>
                </c:pt>
                <c:pt idx="11">
                  <c:v>Total</c:v>
                </c:pt>
              </c:strCache>
            </c:strRef>
          </c:cat>
          <c:val>
            <c:numRef>
              <c:f>Sheet15!$F$15:$Q$15</c:f>
              <c:numCache>
                <c:formatCode>#,##0</c:formatCode>
                <c:ptCount val="12"/>
                <c:pt idx="1">
                  <c:v>268.40659649999924</c:v>
                </c:pt>
                <c:pt idx="2">
                  <c:v>230.06279700000007</c:v>
                </c:pt>
                <c:pt idx="3">
                  <c:v>306.75039599999963</c:v>
                </c:pt>
                <c:pt idx="4">
                  <c:v>306.75039599999963</c:v>
                </c:pt>
                <c:pt idx="5">
                  <c:v>352.76295539999995</c:v>
                </c:pt>
                <c:pt idx="6">
                  <c:v>76.687599000000006</c:v>
                </c:pt>
                <c:pt idx="7">
                  <c:v>76.687599000000006</c:v>
                </c:pt>
                <c:pt idx="8">
                  <c:v>76.687599000000006</c:v>
                </c:pt>
                <c:pt idx="9">
                  <c:v>76.687599000000006</c:v>
                </c:pt>
                <c:pt idx="10">
                  <c:v>76.687599000000006</c:v>
                </c:pt>
                <c:pt idx="11">
                  <c:v>1848.1711358999989</c:v>
                </c:pt>
              </c:numCache>
            </c:numRef>
          </c:val>
        </c:ser>
        <c:gapWidth val="95"/>
        <c:overlap val="100"/>
        <c:axId val="115453312"/>
        <c:axId val="115672192"/>
      </c:barChart>
      <c:catAx>
        <c:axId val="115453312"/>
        <c:scaling>
          <c:orientation val="minMax"/>
        </c:scaling>
        <c:axPos val="b"/>
        <c:majorTickMark val="none"/>
        <c:tickLblPos val="nextTo"/>
        <c:crossAx val="115672192"/>
        <c:crosses val="autoZero"/>
        <c:auto val="1"/>
        <c:lblAlgn val="ctr"/>
        <c:lblOffset val="100"/>
      </c:catAx>
      <c:valAx>
        <c:axId val="115672192"/>
        <c:scaling>
          <c:orientation val="minMax"/>
          <c:max val="38500"/>
          <c:min val="33750"/>
        </c:scaling>
        <c:axPos val="l"/>
        <c:majorGridlines/>
        <c:title>
          <c:tx>
            <c:rich>
              <a:bodyPr rot="-5400000" vert="horz"/>
              <a:lstStyle/>
              <a:p>
                <a:pPr>
                  <a:defRPr/>
                </a:pPr>
                <a:r>
                  <a:rPr lang="en-US" sz="1400" b="0"/>
                  <a:t>MWh</a:t>
                </a:r>
              </a:p>
            </c:rich>
          </c:tx>
          <c:layout>
            <c:manualLayout>
              <c:xMode val="edge"/>
              <c:yMode val="edge"/>
              <c:x val="0.15328706697079936"/>
              <c:y val="0.26965515449182648"/>
            </c:manualLayout>
          </c:layout>
        </c:title>
        <c:numFmt formatCode="#,##0" sourceLinked="1"/>
        <c:majorTickMark val="none"/>
        <c:tickLblPos val="nextTo"/>
        <c:crossAx val="115453312"/>
        <c:crosses val="autoZero"/>
        <c:crossBetween val="between"/>
        <c:majorUnit val="250"/>
      </c:valAx>
      <c:dTable>
        <c:showHorzBorder val="1"/>
        <c:showVertBorder val="1"/>
        <c:showOutline val="1"/>
        <c:showKeys val="1"/>
        <c:txPr>
          <a:bodyPr/>
          <a:lstStyle/>
          <a:p>
            <a:pPr rtl="0">
              <a:defRPr sz="700"/>
            </a:pPr>
            <a:endParaRPr lang="en-US"/>
          </a:p>
        </c:txPr>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Sheet10!$D$16</c:f>
              <c:strCache>
                <c:ptCount val="1"/>
                <c:pt idx="0">
                  <c:v>Inv. Due to Installing Energy Efficient lighting units</c:v>
                </c:pt>
              </c:strCache>
            </c:strRef>
          </c:tx>
          <c:cat>
            <c:numRef>
              <c:f>Sheet10!$C$18:$C$27</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Sheet10!$D$18:$D$27</c:f>
              <c:numCache>
                <c:formatCode>#,##0</c:formatCode>
                <c:ptCount val="10"/>
                <c:pt idx="0">
                  <c:v>121755.36832464368</c:v>
                </c:pt>
                <c:pt idx="1">
                  <c:v>146106.44198957234</c:v>
                </c:pt>
                <c:pt idx="2">
                  <c:v>158281.9788220367</c:v>
                </c:pt>
                <c:pt idx="3">
                  <c:v>158281.9788220367</c:v>
                </c:pt>
                <c:pt idx="4">
                  <c:v>121755.36832464368</c:v>
                </c:pt>
                <c:pt idx="5">
                  <c:v>97404.294659714898</c:v>
                </c:pt>
                <c:pt idx="6">
                  <c:v>97404.294659714898</c:v>
                </c:pt>
                <c:pt idx="7">
                  <c:v>73053.220994786083</c:v>
                </c:pt>
              </c:numCache>
            </c:numRef>
          </c:val>
        </c:ser>
        <c:ser>
          <c:idx val="1"/>
          <c:order val="1"/>
          <c:tx>
            <c:strRef>
              <c:f>Sheet10!$E$16</c:f>
              <c:strCache>
                <c:ptCount val="1"/>
                <c:pt idx="0">
                  <c:v>Inv. Due to Installing Motion Sensors</c:v>
                </c:pt>
              </c:strCache>
            </c:strRef>
          </c:tx>
          <c:spPr>
            <a:solidFill>
              <a:srgbClr val="FF0000"/>
            </a:solidFill>
          </c:spPr>
          <c:cat>
            <c:numRef>
              <c:f>Sheet10!$C$18:$C$27</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Sheet10!$E$18:$E$27</c:f>
              <c:numCache>
                <c:formatCode>#,##0</c:formatCode>
                <c:ptCount val="10"/>
                <c:pt idx="0">
                  <c:v>41091.250501399016</c:v>
                </c:pt>
                <c:pt idx="1">
                  <c:v>41091.250501399016</c:v>
                </c:pt>
                <c:pt idx="2">
                  <c:v>41091.250501399016</c:v>
                </c:pt>
                <c:pt idx="3">
                  <c:v>41091.250501399016</c:v>
                </c:pt>
                <c:pt idx="4">
                  <c:v>41091.250501399016</c:v>
                </c:pt>
              </c:numCache>
            </c:numRef>
          </c:val>
        </c:ser>
        <c:ser>
          <c:idx val="5"/>
          <c:order val="2"/>
          <c:tx>
            <c:strRef>
              <c:f>Sheet10!$F$16</c:f>
              <c:strCache>
                <c:ptCount val="1"/>
                <c:pt idx="0">
                  <c:v>Inv. Due to Installing Solar Water Heaters </c:v>
                </c:pt>
              </c:strCache>
            </c:strRef>
          </c:tx>
          <c:spPr>
            <a:solidFill>
              <a:srgbClr val="FFCC00"/>
            </a:solidFill>
          </c:spPr>
          <c:cat>
            <c:numRef>
              <c:f>Sheet10!$C$18:$C$27</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Sheet10!$F$18:$F$27</c:f>
              <c:numCache>
                <c:formatCode>#,##0</c:formatCode>
                <c:ptCount val="10"/>
                <c:pt idx="0">
                  <c:v>22162.716110999998</c:v>
                </c:pt>
                <c:pt idx="1">
                  <c:v>22162.716110999998</c:v>
                </c:pt>
                <c:pt idx="2">
                  <c:v>33244.074166500002</c:v>
                </c:pt>
                <c:pt idx="3">
                  <c:v>33244.074166500002</c:v>
                </c:pt>
                <c:pt idx="4">
                  <c:v>44325.432222000003</c:v>
                </c:pt>
                <c:pt idx="5">
                  <c:v>44325.432222000003</c:v>
                </c:pt>
                <c:pt idx="6">
                  <c:v>37676.617388699997</c:v>
                </c:pt>
                <c:pt idx="7">
                  <c:v>66488.14833299999</c:v>
                </c:pt>
                <c:pt idx="8">
                  <c:v>69812.555749649997</c:v>
                </c:pt>
                <c:pt idx="9">
                  <c:v>69812.555749649997</c:v>
                </c:pt>
              </c:numCache>
            </c:numRef>
          </c:val>
        </c:ser>
        <c:ser>
          <c:idx val="6"/>
          <c:order val="3"/>
          <c:tx>
            <c:strRef>
              <c:f>Sheet10!$G$16</c:f>
              <c:strCache>
                <c:ptCount val="1"/>
                <c:pt idx="0">
                  <c:v>Inv. Due to Installing Photovoltaic systems</c:v>
                </c:pt>
              </c:strCache>
            </c:strRef>
          </c:tx>
          <c:spPr>
            <a:solidFill>
              <a:srgbClr val="00FF00"/>
            </a:solidFill>
          </c:spPr>
          <c:cat>
            <c:numRef>
              <c:f>Sheet10!$C$18:$C$27</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Sheet10!$G$18:$G$27</c:f>
              <c:numCache>
                <c:formatCode>#,##0</c:formatCode>
                <c:ptCount val="10"/>
                <c:pt idx="0">
                  <c:v>172055.85880457598</c:v>
                </c:pt>
                <c:pt idx="1">
                  <c:v>147476.45040392221</c:v>
                </c:pt>
                <c:pt idx="2">
                  <c:v>196635.26720522987</c:v>
                </c:pt>
                <c:pt idx="3">
                  <c:v>196635.26720522987</c:v>
                </c:pt>
                <c:pt idx="4">
                  <c:v>226130.55728601429</c:v>
                </c:pt>
                <c:pt idx="5">
                  <c:v>400644.35693065583</c:v>
                </c:pt>
                <c:pt idx="6">
                  <c:v>400644.35693065583</c:v>
                </c:pt>
                <c:pt idx="7">
                  <c:v>442429.35121176718</c:v>
                </c:pt>
                <c:pt idx="8">
                  <c:v>498961.99053327146</c:v>
                </c:pt>
                <c:pt idx="9">
                  <c:v>513709.63557366369</c:v>
                </c:pt>
              </c:numCache>
            </c:numRef>
          </c:val>
        </c:ser>
        <c:gapWidth val="95"/>
        <c:overlap val="100"/>
        <c:axId val="115718016"/>
        <c:axId val="115719552"/>
      </c:barChart>
      <c:catAx>
        <c:axId val="115718016"/>
        <c:scaling>
          <c:orientation val="minMax"/>
        </c:scaling>
        <c:axPos val="b"/>
        <c:numFmt formatCode="General" sourceLinked="1"/>
        <c:majorTickMark val="none"/>
        <c:tickLblPos val="nextTo"/>
        <c:crossAx val="115719552"/>
        <c:crosses val="autoZero"/>
        <c:auto val="1"/>
        <c:lblAlgn val="ctr"/>
        <c:lblOffset val="100"/>
      </c:catAx>
      <c:valAx>
        <c:axId val="115719552"/>
        <c:scaling>
          <c:orientation val="minMax"/>
          <c:max val="600000"/>
        </c:scaling>
        <c:axPos val="l"/>
        <c:majorGridlines/>
        <c:title>
          <c:tx>
            <c:rich>
              <a:bodyPr/>
              <a:lstStyle/>
              <a:p>
                <a:pPr>
                  <a:defRPr sz="1200" b="1"/>
                </a:pPr>
                <a:r>
                  <a:rPr lang="en-US" sz="1200" b="1"/>
                  <a:t>Investment (JOD)</a:t>
                </a:r>
              </a:p>
            </c:rich>
          </c:tx>
          <c:layout>
            <c:manualLayout>
              <c:xMode val="edge"/>
              <c:yMode val="edge"/>
              <c:x val="0.13912063172558015"/>
              <c:y val="0.2555247326164593"/>
            </c:manualLayout>
          </c:layout>
        </c:title>
        <c:numFmt formatCode="#,##0" sourceLinked="1"/>
        <c:majorTickMark val="none"/>
        <c:minorTickMark val="out"/>
        <c:tickLblPos val="nextTo"/>
        <c:crossAx val="115718016"/>
        <c:crosses val="autoZero"/>
        <c:crossBetween val="between"/>
        <c:majorUnit val="50000"/>
      </c:valAx>
      <c:dTable>
        <c:showHorzBorder val="1"/>
        <c:showVertBorder val="1"/>
        <c:showOutline val="1"/>
        <c:showKeys val="1"/>
        <c:txPr>
          <a:bodyPr/>
          <a:lstStyle/>
          <a:p>
            <a:pPr rtl="0">
              <a:defRPr sz="800"/>
            </a:pPr>
            <a:endParaRPr lang="en-US"/>
          </a:p>
        </c:txPr>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7808-98B1-4235-B01B-B9DB2C5D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24</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3091</dc:creator>
  <cp:lastModifiedBy>3091</cp:lastModifiedBy>
  <cp:revision>7</cp:revision>
  <dcterms:created xsi:type="dcterms:W3CDTF">2015-11-24T09:03:00Z</dcterms:created>
  <dcterms:modified xsi:type="dcterms:W3CDTF">2015-11-25T05:41:00Z</dcterms:modified>
</cp:coreProperties>
</file>